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0" w:afterLines="0" w:line="320" w:lineRule="exact"/>
        <w:ind w:left="-5" w:leftChars="0" w:right="-229" w:rightChars="-104" w:firstLine="5" w:firstLineChars="0"/>
        <w:jc w:val="center"/>
        <w:textAlignment w:val="auto"/>
        <w:outlineLvl w:val="0"/>
        <w:rPr>
          <w:rFonts w:hint="eastAsia" w:ascii="仿宋" w:hAnsi="仿宋" w:eastAsia="仿宋" w:cs="仿宋"/>
          <w:sz w:val="36"/>
          <w:szCs w:val="36"/>
          <w:lang w:val="en-US" w:eastAsia="zh-CN"/>
        </w:rPr>
      </w:pPr>
      <w:bookmarkStart w:id="0" w:name="OLE_LINK4"/>
      <w:bookmarkStart w:id="1" w:name="OLE_LINK6"/>
      <w:bookmarkStart w:id="2" w:name="OLE_LINK7"/>
      <w:r>
        <w:rPr>
          <w:rFonts w:hint="eastAsia" w:ascii="仿宋" w:hAnsi="仿宋" w:eastAsia="仿宋" w:cs="仿宋"/>
          <w:sz w:val="36"/>
          <w:szCs w:val="36"/>
          <w:lang w:val="en-US" w:eastAsia="zh-CN"/>
        </w:rPr>
        <w:t>2018年第四季度双随机检查结果公示</w:t>
      </w:r>
      <w:bookmarkEnd w:id="0"/>
    </w:p>
    <w:p>
      <w:pPr>
        <w:keepNext w:val="0"/>
        <w:keepLines w:val="0"/>
        <w:pageBreakBefore w:val="0"/>
        <w:kinsoku/>
        <w:wordWrap/>
        <w:overflowPunct/>
        <w:topLinePunct w:val="0"/>
        <w:autoSpaceDE/>
        <w:autoSpaceDN/>
        <w:bidi w:val="0"/>
        <w:spacing w:after="0" w:line="320" w:lineRule="exact"/>
        <w:jc w:val="left"/>
        <w:textAlignment w:val="auto"/>
        <w:rPr>
          <w:rFonts w:hint="eastAsia"/>
          <w:sz w:val="32"/>
          <w:szCs w:val="32"/>
          <w:lang w:val="en-US" w:eastAsia="zh-CN"/>
        </w:rPr>
      </w:pPr>
    </w:p>
    <w:bookmarkEnd w:id="1"/>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229" w:rightChars="-104"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bookmarkStart w:id="3" w:name="OLE_LINK5"/>
      <w:r>
        <w:rPr>
          <w:rFonts w:hint="eastAsia" w:ascii="仿宋_GB2312" w:hAnsi="仿宋_GB2312" w:eastAsia="仿宋_GB2312" w:cs="仿宋_GB2312"/>
          <w:b w:val="0"/>
          <w:bCs w:val="0"/>
          <w:sz w:val="32"/>
          <w:szCs w:val="32"/>
          <w:lang w:val="en-US" w:eastAsia="zh-CN"/>
        </w:rPr>
        <w:t>为贯彻原环保部《关于在污染源日常环境监管领域推广随机抽查制度的实施方案》（环办[2015]88号）和《湖北省污染源日常环境监管随机抽查落实方案》（鄂环办[2015]285号）等文件精神，按照《武汉市环保局污染源日常环境监管随机抽查工作制度》（武环办（2016]3号）规定的抽查主体、对象和抽查比例，市环境监察支队通过电脑系统随机抽签方式确定了检查企业和抽查人员名单。</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229" w:rightChars="-104"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2018年第四季度，环境监察支队根据抽签结果，一共抽查企业59家，其中</w:t>
      </w:r>
      <w:bookmarkStart w:id="4" w:name="OLE_LINK1"/>
      <w:r>
        <w:rPr>
          <w:rFonts w:hint="eastAsia" w:ascii="仿宋_GB2312" w:hAnsi="仿宋_GB2312" w:eastAsia="仿宋_GB2312" w:cs="仿宋_GB2312"/>
          <w:b w:val="0"/>
          <w:bCs w:val="0"/>
          <w:sz w:val="32"/>
          <w:szCs w:val="32"/>
          <w:lang w:val="en-US" w:eastAsia="zh-CN"/>
        </w:rPr>
        <w:t>直管企业污染源</w:t>
      </w:r>
      <w:bookmarkEnd w:id="4"/>
      <w:r>
        <w:rPr>
          <w:rFonts w:hint="eastAsia" w:ascii="仿宋_GB2312" w:hAnsi="仿宋_GB2312" w:eastAsia="仿宋_GB2312" w:cs="仿宋_GB2312"/>
          <w:b w:val="0"/>
          <w:bCs w:val="0"/>
          <w:sz w:val="32"/>
          <w:szCs w:val="32"/>
          <w:lang w:val="en-US" w:eastAsia="zh-CN"/>
        </w:rPr>
        <w:t>10家，重点污染源15家，一般污染源17家，建设项目双随机抽查17家，均符合环保部和省、市对有关污染源日常环境监管随机抽查比例要求。执法人员采取突击检查的方式，重点对被抽查单位的污染防治设施运行情况，污染物排放情况，以及环评、“三同时”等环境管理制度落实情况进行抽查。具体名单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一、直管企业污染源（10家）</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南太子湖污水处理厂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龙王嘴污水处理厂</w:t>
      </w:r>
      <w:bookmarkStart w:id="6" w:name="_GoBack"/>
      <w:bookmarkEnd w:id="6"/>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武汉深能环保新沟垃圾发电有限公司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武汉北湖云峰环保科技有限公司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中韩（武汉）石油化工有限公司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武汉钢电股份有限公司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武钢新日铁（武汉）镀锡板有限公司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湖北吉隆危废处理技术有限公司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三金潭污水处理厂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武汉绿色动力再生能源有限公司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二、重点污染源</w:t>
      </w:r>
      <w:bookmarkStart w:id="5" w:name="OLE_LINK2"/>
      <w:r>
        <w:rPr>
          <w:rFonts w:hint="eastAsia" w:ascii="仿宋_GB2312" w:hAnsi="仿宋_GB2312" w:eastAsia="仿宋_GB2312" w:cs="仿宋_GB2312"/>
          <w:b/>
          <w:bCs/>
          <w:sz w:val="32"/>
          <w:szCs w:val="32"/>
          <w:lang w:val="en-US" w:eastAsia="zh-CN"/>
        </w:rPr>
        <w:t>（15家）</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左岭污水处理厂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武汉市第三医院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华中科技大学同济医学院附属协和医院西院（协和医院（西区））</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武汉天马微电子有限公司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东风汽车集团股份有限公司乘用车公司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武汉武钢北湖盛源炭素有限公司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藤仓烽火光电材料科技有限公司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武汉中海粮油工业有限公司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武汉长利玻璃（汉南）有限公司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武汉东运制版有限公司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马应龙药业集团股份有限公司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武汉钢铁集团矿业有限责任公司乌龙泉矿</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陶氏化学（武汉）有限公司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天喔（武汉）食品有限公司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武汉燎原模塑有限公司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三、一般污染源（17家）</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武汉市商业职工医院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武汉三丰石油商贸有限公司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普莱克斯（武汉）实用气体有限公司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武昌实验寄宿学校</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武汉市华龙包装印刷有限公司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坦萨土工合成材料（中国）有限公司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武汉施密茨挂车有限公司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美的集团武汉制冷设备有限公司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武汉市东湖生态旅游风景区张流生小吃店</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中闻集团武汉印务有限公司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广州法雷奥发动机冷却有限公司武汉分公司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武汉百姓医院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武汉市年丰港口仓储有限公司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武汉恩碧涂料有限公司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广州蒸功夫快餐连锁管理有限公司欢乐谷店</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武汉东福汽车零部件有限公司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湖北吉兴汽车部件有限公司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四、建设项目（17家）</w:t>
      </w:r>
    </w:p>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华中科技大学同济医学院附属协和医院协和医院门诊医技楼</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二郎庙污水处理厂改扩建</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武汉市大汉阳地区现代有轨电车试验线工程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东西湖区南二支沟路、南三支沟路、南四支沟路及汇通大道道路工程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军山第二大道（枫树南路~全力三路延长线）工程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蔡甸区常福大桥新建工程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三环线西段（长丰桥至白沙洲大桥）综合改造</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黄陂区九五五医院建设项目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武汉瑞博口腔医院建设项目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湖北大中中医院项目 </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江夏长山口生活垃圾卫生填埋场二期工程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蔡甸区黄星大道新建工程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武汉紫荆医院新建综合性病房大楼</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湖北省新华医院湖北省职业病医院大楼</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武汉亚洲心脏病医院建设项目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新洲区人民医院（武汉市中心医院新洲院区）整体外迁工程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鑫中仓储物流基地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B1F6A5D"/>
    <w:rsid w:val="1C142C37"/>
    <w:rsid w:val="25B93F61"/>
    <w:rsid w:val="3B2B2E20"/>
    <w:rsid w:val="3C362702"/>
    <w:rsid w:val="493F5D42"/>
    <w:rsid w:val="4FEB23AA"/>
    <w:rsid w:val="52F80B7F"/>
    <w:rsid w:val="56772FF0"/>
    <w:rsid w:val="5F50654F"/>
    <w:rsid w:val="6339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640" w:firstLineChars="200"/>
      <w:outlineLvl w:val="0"/>
    </w:pPr>
    <w:rPr>
      <w:rFonts w:eastAsia="黑体"/>
      <w:b/>
      <w:kern w:val="44"/>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谭晓欧</cp:lastModifiedBy>
  <cp:lastPrinted>2019-01-03T02:16:48Z</cp:lastPrinted>
  <dcterms:modified xsi:type="dcterms:W3CDTF">2019-01-03T02:23:01Z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