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before="195" w:line="360" w:lineRule="auto"/>
        <w:ind w:left="2990" w:right="253" w:hanging="2715"/>
        <w:rPr>
          <w:rFonts w:ascii="Times New Roman" w:hAnsi="Times New Roman" w:eastAsia="宋体" w:cs="宋体"/>
          <w:sz w:val="60"/>
          <w:szCs w:val="60"/>
        </w:rPr>
      </w:pPr>
      <w:r>
        <w:rPr>
          <w:rFonts w:ascii="Times New Roman" w:hAnsi="Times New Roman" w:eastAsia="宋体" w:cs="宋体"/>
          <w:sz w:val="60"/>
          <w:szCs w:val="60"/>
          <w14:textOutline w14:w="10883" w14:cap="flat" w14:cmpd="sng" w14:algn="ctr">
            <w14:solidFill>
              <w14:srgbClr w14:val="000000"/>
            </w14:solidFill>
            <w14:prstDash w14:val="solid"/>
            <w14:miter w14:val="0"/>
          </w14:textOutline>
        </w:rPr>
        <w:t>全国排污许可证管理信息平台</w:t>
      </w:r>
      <w:r>
        <w:rPr>
          <w:rFonts w:ascii="Times New Roman" w:hAnsi="Times New Roman" w:eastAsia="宋体" w:cs="宋体"/>
          <w:spacing w:val="-4"/>
          <w:sz w:val="60"/>
          <w:szCs w:val="60"/>
          <w14:textOutline w14:w="10883" w14:cap="flat" w14:cmpd="sng" w14:algn="ctr">
            <w14:solidFill>
              <w14:srgbClr w14:val="000000"/>
            </w14:solidFill>
            <w14:prstDash w14:val="solid"/>
            <w14:miter w14:val="0"/>
          </w14:textOutline>
        </w:rPr>
        <w:t>填报指南</w:t>
      </w: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before="170" w:line="360" w:lineRule="auto"/>
        <w:ind w:firstLine="2375"/>
        <w:rPr>
          <w:rFonts w:ascii="Times New Roman" w:hAnsi="Times New Roman" w:eastAsia="宋体" w:cs="宋体"/>
          <w:sz w:val="52"/>
          <w:szCs w:val="52"/>
        </w:rPr>
      </w:pPr>
      <w:r>
        <w:rPr>
          <w:rFonts w:ascii="Times New Roman" w:hAnsi="Times New Roman" w:eastAsia="宋体" w:cs="宋体"/>
          <w:spacing w:val="-6"/>
          <w:sz w:val="52"/>
          <w:szCs w:val="52"/>
          <w14:textOutline w14:w="9448" w14:cap="flat" w14:cmpd="sng" w14:algn="ctr">
            <w14:solidFill>
              <w14:srgbClr w14:val="000000"/>
            </w14:solidFill>
            <w14:prstDash w14:val="solid"/>
            <w14:miter w14:val="0"/>
          </w14:textOutline>
        </w:rPr>
        <w:t>（简化管理类）</w:t>
      </w: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before="104" w:line="360" w:lineRule="auto"/>
        <w:ind w:firstLine="2895"/>
        <w:rPr>
          <w:rFonts w:ascii="Times New Roman" w:hAnsi="Times New Roman" w:eastAsia="宋体" w:cs="宋体"/>
          <w:sz w:val="32"/>
          <w:szCs w:val="32"/>
        </w:rPr>
      </w:pPr>
      <w:r>
        <w:rPr>
          <w:rFonts w:hint="eastAsia" w:ascii="Times New Roman" w:hAnsi="Times New Roman" w:eastAsia="宋体" w:cs="宋体"/>
          <w:spacing w:val="-1"/>
          <w:sz w:val="32"/>
          <w:szCs w:val="32"/>
          <w14:textOutline w14:w="5791" w14:cap="flat" w14:cmpd="sng" w14:algn="ctr">
            <w14:solidFill>
              <w14:srgbClr w14:val="000000"/>
            </w14:solidFill>
            <w14:prstDash w14:val="solid"/>
            <w14:miter w14:val="0"/>
          </w14:textOutline>
        </w:rPr>
        <w:t>武汉市生态环境局</w:t>
      </w:r>
    </w:p>
    <w:p>
      <w:pPr>
        <w:keepNext w:val="0"/>
        <w:keepLines w:val="0"/>
        <w:pageBreakBefore w:val="0"/>
        <w:wordWrap/>
        <w:overflowPunct/>
        <w:topLinePunct w:val="0"/>
        <w:bidi w:val="0"/>
        <w:spacing w:before="305" w:line="360" w:lineRule="auto"/>
        <w:ind w:firstLine="3333"/>
        <w:rPr>
          <w:rFonts w:ascii="Times New Roman" w:hAnsi="Times New Roman" w:eastAsia="宋体" w:cs="宋体"/>
          <w:sz w:val="32"/>
          <w:szCs w:val="32"/>
        </w:rPr>
      </w:pPr>
      <w:r>
        <w:rPr>
          <w:rFonts w:ascii="Times New Roman" w:hAnsi="Times New Roman" w:eastAsia="Calibri" w:cs="Calibri"/>
          <w:b/>
          <w:bCs/>
          <w:spacing w:val="-5"/>
          <w:sz w:val="32"/>
          <w:szCs w:val="32"/>
        </w:rPr>
        <w:t>202</w:t>
      </w:r>
      <w:r>
        <w:rPr>
          <w:rFonts w:hint="eastAsia" w:ascii="Times New Roman" w:hAnsi="Times New Roman" w:eastAsia="宋体" w:cs="Calibri"/>
          <w:b/>
          <w:bCs/>
          <w:spacing w:val="-5"/>
          <w:sz w:val="32"/>
          <w:szCs w:val="32"/>
        </w:rPr>
        <w:t>1</w:t>
      </w:r>
      <w:r>
        <w:rPr>
          <w:rFonts w:ascii="Times New Roman" w:hAnsi="Times New Roman" w:eastAsia="Calibri" w:cs="Calibri"/>
          <w:spacing w:val="20"/>
          <w:sz w:val="32"/>
          <w:szCs w:val="32"/>
        </w:rPr>
        <w:t xml:space="preserve"> </w:t>
      </w:r>
      <w:r>
        <w:rPr>
          <w:rFonts w:ascii="Times New Roman" w:hAnsi="Times New Roman" w:eastAsia="宋体" w:cs="宋体"/>
          <w:spacing w:val="-5"/>
          <w:sz w:val="32"/>
          <w:szCs w:val="32"/>
          <w14:textOutline w14:w="5791" w14:cap="flat" w14:cmpd="sng" w14:algn="ctr">
            <w14:solidFill>
              <w14:srgbClr w14:val="000000"/>
            </w14:solidFill>
            <w14:prstDash w14:val="solid"/>
            <w14:miter w14:val="0"/>
          </w14:textOutline>
        </w:rPr>
        <w:t>年</w:t>
      </w:r>
      <w:r>
        <w:rPr>
          <w:rFonts w:ascii="Times New Roman" w:hAnsi="Times New Roman" w:eastAsia="宋体" w:cs="宋体"/>
          <w:spacing w:val="-70"/>
          <w:sz w:val="32"/>
          <w:szCs w:val="32"/>
        </w:rPr>
        <w:t xml:space="preserve"> </w:t>
      </w:r>
      <w:r>
        <w:rPr>
          <w:rFonts w:hint="eastAsia" w:ascii="Times New Roman" w:hAnsi="Times New Roman" w:eastAsia="宋体" w:cs="Calibri"/>
          <w:b/>
          <w:bCs/>
          <w:spacing w:val="-5"/>
          <w:sz w:val="32"/>
          <w:szCs w:val="32"/>
        </w:rPr>
        <w:t xml:space="preserve">12 </w:t>
      </w:r>
      <w:r>
        <w:rPr>
          <w:rFonts w:ascii="Times New Roman" w:hAnsi="Times New Roman" w:eastAsia="宋体" w:cs="宋体"/>
          <w:spacing w:val="-5"/>
          <w:sz w:val="32"/>
          <w:szCs w:val="32"/>
          <w14:textOutline w14:w="5791" w14:cap="flat" w14:cmpd="sng" w14:algn="ctr">
            <w14:solidFill>
              <w14:srgbClr w14:val="000000"/>
            </w14:solidFill>
            <w14:prstDash w14:val="solid"/>
            <w14:miter w14:val="0"/>
          </w14:textOutline>
        </w:rPr>
        <w:t>月</w:t>
      </w:r>
    </w:p>
    <w:p>
      <w:pPr>
        <w:keepNext w:val="0"/>
        <w:keepLines w:val="0"/>
        <w:pageBreakBefore w:val="0"/>
        <w:wordWrap/>
        <w:overflowPunct/>
        <w:topLinePunct w:val="0"/>
        <w:bidi w:val="0"/>
        <w:spacing w:line="360" w:lineRule="auto"/>
        <w:rPr>
          <w:rFonts w:ascii="Times New Roman" w:hAnsi="Times New Roman"/>
        </w:rPr>
        <w:sectPr>
          <w:pgSz w:w="11907" w:h="16839"/>
          <w:pgMar w:top="1431" w:right="1785" w:bottom="0" w:left="1785" w:header="0" w:footer="0" w:gutter="0"/>
          <w:cols w:space="720" w:num="1"/>
        </w:sect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heme="minorBidi"/>
          <w:b/>
          <w:bCs/>
          <w:snapToGrid/>
          <w:kern w:val="2"/>
          <w:sz w:val="48"/>
          <w:szCs w:val="48"/>
        </w:rPr>
      </w:pPr>
      <w:r>
        <w:rPr>
          <w:rFonts w:hint="eastAsia" w:ascii="Times New Roman" w:hAnsi="Times New Roman" w:eastAsia="宋体" w:cstheme="minorBidi"/>
          <w:b/>
          <w:bCs/>
          <w:snapToGrid/>
          <w:kern w:val="2"/>
          <w:sz w:val="48"/>
          <w:szCs w:val="48"/>
        </w:rPr>
        <w:t>前  言</w:t>
      </w: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both"/>
        <w:textAlignment w:val="auto"/>
        <w:rPr>
          <w:rFonts w:hint="eastAsia" w:ascii="Times New Roman" w:hAnsi="Times New Roman" w:eastAsia="宋体" w:cstheme="minorBidi"/>
          <w:snapToGrid/>
          <w:kern w:val="2"/>
          <w:sz w:val="36"/>
          <w:szCs w:val="36"/>
        </w:rPr>
      </w:pPr>
      <w:r>
        <w:rPr>
          <w:rFonts w:hint="eastAsia" w:ascii="Times New Roman" w:hAnsi="Times New Roman" w:eastAsia="宋体" w:cstheme="minorBidi"/>
          <w:snapToGrid/>
          <w:kern w:val="2"/>
          <w:sz w:val="36"/>
          <w:szCs w:val="36"/>
        </w:rPr>
        <w:t>完成覆盖所有固定污染源的排污许可证核发工作，是党的十九届四中全会精神、生态文明体制改革总体方案、国务院控制污染物排放许可制实施方案等提出的重要改革目标任务，是打好污染防治攻坚战的重要支撑。为贯彻落实生态环境部、湖北省生态环境厅的工作要求，保障武汉市顺利完成固定污染源排污许可管理全覆盖工作任务，武汉市生态环境局组织编制了《全国排污许可证管理信息平台填报指南（简化管理类）》，针对武汉市特点，细化明确了系统填报的技术要求，力求帮助企业更高效、更规范填报系统。本《指南》内容供参考，根据工作需要及效果反馈将适时更新。</w:t>
      </w:r>
    </w:p>
    <w:p>
      <w:pPr>
        <w:keepNext w:val="0"/>
        <w:keepLines w:val="0"/>
        <w:pageBreakBefore w:val="0"/>
        <w:widowControl w:val="0"/>
        <w:kinsoku/>
        <w:wordWrap/>
        <w:overflowPunct/>
        <w:topLinePunct w:val="0"/>
        <w:autoSpaceDE/>
        <w:autoSpaceDN/>
        <w:bidi w:val="0"/>
        <w:adjustRightInd/>
        <w:snapToGrid/>
        <w:spacing w:line="360" w:lineRule="auto"/>
        <w:ind w:firstLine="720" w:firstLineChars="200"/>
        <w:jc w:val="both"/>
        <w:textAlignment w:val="auto"/>
        <w:rPr>
          <w:rFonts w:hint="eastAsia" w:ascii="Times New Roman" w:hAnsi="Times New Roman" w:eastAsia="宋体" w:cstheme="minorBidi"/>
          <w:snapToGrid/>
          <w:kern w:val="2"/>
          <w:sz w:val="36"/>
          <w:szCs w:val="36"/>
        </w:rPr>
      </w:pPr>
    </w:p>
    <w:p>
      <w:pPr>
        <w:keepNext w:val="0"/>
        <w:keepLines w:val="0"/>
        <w:pageBreakBefore w:val="0"/>
        <w:wordWrap/>
        <w:overflowPunct/>
        <w:topLinePunct w:val="0"/>
        <w:bidi w:val="0"/>
        <w:spacing w:line="360" w:lineRule="auto"/>
        <w:rPr>
          <w:rFonts w:ascii="Times New Roman" w:hAnsi="Times New Roman"/>
        </w:rPr>
        <w:sectPr>
          <w:pgSz w:w="11907" w:h="16839"/>
          <w:pgMar w:top="1431" w:right="1785" w:bottom="0" w:left="1785" w:header="0" w:footer="0" w:gutter="0"/>
          <w:cols w:space="720" w:num="1"/>
        </w:sectPr>
      </w:pPr>
    </w:p>
    <w:p>
      <w:pPr>
        <w:keepNext w:val="0"/>
        <w:keepLines w:val="0"/>
        <w:pageBreakBefore w:val="0"/>
        <w:wordWrap/>
        <w:overflowPunct/>
        <w:topLinePunct w:val="0"/>
        <w:bidi w:val="0"/>
        <w:spacing w:line="360" w:lineRule="auto"/>
        <w:rPr>
          <w:rFonts w:ascii="Times New Roman" w:hAnsi="Times New Roman"/>
        </w:rPr>
      </w:pPr>
    </w:p>
    <w:sdt>
      <w:sdtPr>
        <w:rPr>
          <w:rFonts w:ascii="Times New Roman" w:hAnsi="Times New Roman" w:eastAsia="宋体"/>
          <w:b/>
          <w:bCs/>
          <w:sz w:val="32"/>
          <w:szCs w:val="32"/>
        </w:rPr>
        <w:id w:val="147482047"/>
        <w:docPartObj>
          <w:docPartGallery w:val="Table of Contents"/>
          <w:docPartUnique/>
        </w:docPartObj>
      </w:sdtPr>
      <w:sdtEndPr>
        <w:rPr>
          <w:rFonts w:ascii="Times New Roman" w:hAnsi="Times New Roman" w:eastAsia="Arial"/>
          <w:b/>
          <w:bCs/>
          <w:sz w:val="21"/>
          <w:szCs w:val="21"/>
        </w:rPr>
      </w:sdtEndPr>
      <w:sdtContent>
        <w:p>
          <w:pPr>
            <w:keepNext w:val="0"/>
            <w:keepLines w:val="0"/>
            <w:pageBreakBefore w:val="0"/>
            <w:wordWrap/>
            <w:overflowPunct/>
            <w:topLinePunct w:val="0"/>
            <w:bidi w:val="0"/>
            <w:spacing w:before="169" w:line="360" w:lineRule="auto"/>
            <w:ind w:firstLine="3634"/>
            <w:rPr>
              <w:rFonts w:ascii="Times New Roman" w:hAnsi="Times New Roman"/>
              <w:b/>
              <w:bCs/>
              <w:sz w:val="32"/>
              <w:szCs w:val="32"/>
            </w:rPr>
          </w:pPr>
          <w:r>
            <w:rPr>
              <w:rFonts w:ascii="Times New Roman" w:hAnsi="Times New Roman" w:eastAsia="宋体"/>
              <w:b/>
              <w:bCs/>
              <w:sz w:val="32"/>
              <w:szCs w:val="32"/>
            </w:rPr>
            <w:t>目</w:t>
          </w:r>
          <w:r>
            <w:rPr>
              <w:rFonts w:hint="eastAsia" w:ascii="Times New Roman" w:hAnsi="Times New Roman" w:eastAsia="宋体"/>
              <w:b/>
              <w:bCs/>
              <w:sz w:val="32"/>
              <w:szCs w:val="32"/>
            </w:rPr>
            <w:t xml:space="preserve">  </w:t>
          </w:r>
          <w:r>
            <w:rPr>
              <w:rFonts w:ascii="Times New Roman" w:hAnsi="Times New Roman" w:eastAsia="宋体"/>
              <w:b/>
              <w:bCs/>
              <w:sz w:val="32"/>
              <w:szCs w:val="32"/>
            </w:rPr>
            <w:t>录</w:t>
          </w:r>
        </w:p>
        <w:p>
          <w:pPr>
            <w:pStyle w:val="7"/>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rPr>
            <w:fldChar w:fldCharType="begin"/>
          </w:r>
          <w:r>
            <w:rPr>
              <w:rFonts w:ascii="Times New Roman" w:hAnsi="Times New Roman"/>
            </w:rPr>
            <w:instrText xml:space="preserve">TOC \o "1-3" \h \u </w:instrText>
          </w:r>
          <w:r>
            <w:rPr>
              <w:rFonts w:ascii="Times New Roman" w:hAnsi="Times New Roman"/>
            </w:rPr>
            <w:fldChar w:fldCharType="separate"/>
          </w: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_Toc14443 </w:instrText>
          </w:r>
          <w:r>
            <w:rPr>
              <w:rFonts w:ascii="Times New Roman" w:hAnsi="Times New Roman" w:eastAsia="宋体"/>
              <w:sz w:val="24"/>
              <w:szCs w:val="24"/>
            </w:rPr>
            <w:fldChar w:fldCharType="separate"/>
          </w:r>
          <w:r>
            <w:rPr>
              <w:rFonts w:ascii="Times New Roman" w:hAnsi="Times New Roman" w:eastAsia="宋体" w:cs="宋体"/>
              <w:spacing w:val="-2"/>
              <w:sz w:val="24"/>
              <w:szCs w:val="24"/>
              <w14:textOutline w14:w="5791" w14:cap="flat" w14:cmpd="sng" w14:algn="ctr">
                <w14:solidFill>
                  <w14:srgbClr w14:val="000000"/>
                </w14:solidFill>
                <w14:prstDash w14:val="solid"/>
                <w14:miter w14:val="0"/>
              </w14:textOutline>
            </w:rPr>
            <w:t>一、系统注册</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_Toc14443 \h </w:instrText>
          </w:r>
          <w:r>
            <w:rPr>
              <w:rFonts w:ascii="Times New Roman" w:hAnsi="Times New Roman" w:eastAsia="宋体"/>
              <w:sz w:val="24"/>
              <w:szCs w:val="24"/>
            </w:rPr>
            <w:fldChar w:fldCharType="separate"/>
          </w:r>
          <w:r>
            <w:rPr>
              <w:rFonts w:ascii="Times New Roman" w:hAnsi="Times New Roman" w:eastAsia="宋体"/>
              <w:sz w:val="24"/>
              <w:szCs w:val="24"/>
            </w:rPr>
            <w:t>1</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7"/>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_Toc16200 </w:instrText>
          </w:r>
          <w:r>
            <w:rPr>
              <w:rFonts w:ascii="Times New Roman" w:hAnsi="Times New Roman" w:eastAsia="宋体"/>
              <w:sz w:val="24"/>
              <w:szCs w:val="24"/>
            </w:rPr>
            <w:fldChar w:fldCharType="separate"/>
          </w:r>
          <w:r>
            <w:rPr>
              <w:rFonts w:hint="eastAsia" w:ascii="Times New Roman" w:hAnsi="Times New Roman" w:eastAsia="宋体" w:cs="宋体"/>
              <w:spacing w:val="-2"/>
              <w:sz w:val="24"/>
              <w:szCs w:val="24"/>
              <w14:textOutline w14:w="5791" w14:cap="flat" w14:cmpd="sng" w14:algn="ctr">
                <w14:solidFill>
                  <w14:srgbClr w14:val="000000"/>
                </w14:solidFill>
                <w14:prstDash w14:val="solid"/>
                <w14:miter w14:val="0"/>
              </w14:textOutline>
            </w:rPr>
            <w:t>二、</w:t>
          </w:r>
          <w:r>
            <w:rPr>
              <w:rFonts w:ascii="Times New Roman" w:hAnsi="Times New Roman" w:eastAsia="宋体" w:cs="宋体"/>
              <w:spacing w:val="-2"/>
              <w:sz w:val="24"/>
              <w:szCs w:val="24"/>
              <w14:textOutline w14:w="5791" w14:cap="flat" w14:cmpd="sng" w14:algn="ctr">
                <w14:solidFill>
                  <w14:srgbClr w14:val="000000"/>
                </w14:solidFill>
                <w14:prstDash w14:val="solid"/>
                <w14:miter w14:val="0"/>
              </w14:textOutline>
            </w:rPr>
            <w:t>系统填报</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_Toc16200 \h </w:instrText>
          </w:r>
          <w:r>
            <w:rPr>
              <w:rFonts w:ascii="Times New Roman" w:hAnsi="Times New Roman" w:eastAsia="宋体"/>
              <w:sz w:val="24"/>
              <w:szCs w:val="24"/>
            </w:rPr>
            <w:fldChar w:fldCharType="separate"/>
          </w:r>
          <w:r>
            <w:rPr>
              <w:rFonts w:ascii="Times New Roman" w:hAnsi="Times New Roman" w:eastAsia="宋体"/>
              <w:sz w:val="24"/>
              <w:szCs w:val="24"/>
            </w:rPr>
            <w:t>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_Toc28278 </w:instrText>
          </w:r>
          <w:r>
            <w:rPr>
              <w:rFonts w:ascii="Times New Roman" w:hAnsi="Times New Roman" w:eastAsia="宋体"/>
              <w:sz w:val="24"/>
              <w:szCs w:val="24"/>
            </w:rPr>
            <w:fldChar w:fldCharType="separate"/>
          </w:r>
          <w:r>
            <w:rPr>
              <w:rFonts w:ascii="Times New Roman" w:hAnsi="Times New Roman" w:eastAsia="宋体" w:cs="Cambria"/>
              <w:bCs/>
              <w:spacing w:val="-6"/>
              <w:sz w:val="24"/>
              <w:szCs w:val="24"/>
            </w:rPr>
            <w:t>1</w:t>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、排污单位基本信息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_Toc28278 \h </w:instrText>
          </w:r>
          <w:r>
            <w:rPr>
              <w:rFonts w:ascii="Times New Roman" w:hAnsi="Times New Roman" w:eastAsia="宋体"/>
              <w:sz w:val="24"/>
              <w:szCs w:val="24"/>
            </w:rPr>
            <w:fldChar w:fldCharType="separate"/>
          </w:r>
          <w:r>
            <w:rPr>
              <w:rFonts w:ascii="Times New Roman" w:hAnsi="Times New Roman" w:eastAsia="宋体"/>
              <w:sz w:val="24"/>
              <w:szCs w:val="24"/>
            </w:rPr>
            <w:t>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_Toc25678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排污单位基本信息表填报注意事项：</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_Toc25678 \h </w:instrText>
          </w:r>
          <w:r>
            <w:rPr>
              <w:rFonts w:ascii="Times New Roman" w:hAnsi="Times New Roman" w:eastAsia="宋体"/>
              <w:sz w:val="24"/>
              <w:szCs w:val="24"/>
            </w:rPr>
            <w:fldChar w:fldCharType="separate"/>
          </w:r>
          <w:r>
            <w:rPr>
              <w:rFonts w:ascii="Times New Roman" w:hAnsi="Times New Roman" w:eastAsia="宋体"/>
              <w:sz w:val="24"/>
              <w:szCs w:val="24"/>
            </w:rPr>
            <w:t>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_Toc19593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1.1 是否需改正</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_Toc19593 \h </w:instrText>
          </w:r>
          <w:r>
            <w:rPr>
              <w:rFonts w:ascii="Times New Roman" w:hAnsi="Times New Roman" w:eastAsia="宋体"/>
              <w:sz w:val="24"/>
              <w:szCs w:val="24"/>
            </w:rPr>
            <w:fldChar w:fldCharType="separate"/>
          </w:r>
          <w:r>
            <w:rPr>
              <w:rFonts w:ascii="Times New Roman" w:hAnsi="Times New Roman" w:eastAsia="宋体"/>
              <w:sz w:val="24"/>
              <w:szCs w:val="24"/>
            </w:rPr>
            <w:t>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_Toc31423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1.2 排污许可证管理类别</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_Toc31423 \h </w:instrText>
          </w:r>
          <w:r>
            <w:rPr>
              <w:rFonts w:ascii="Times New Roman" w:hAnsi="Times New Roman" w:eastAsia="宋体"/>
              <w:sz w:val="24"/>
              <w:szCs w:val="24"/>
            </w:rPr>
            <w:fldChar w:fldCharType="separate"/>
          </w:r>
          <w:r>
            <w:rPr>
              <w:rFonts w:ascii="Times New Roman" w:hAnsi="Times New Roman" w:eastAsia="宋体"/>
              <w:sz w:val="24"/>
              <w:szCs w:val="24"/>
            </w:rPr>
            <w:t>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_Toc11996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1.3 地址</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_Toc11996 \h </w:instrText>
          </w:r>
          <w:r>
            <w:rPr>
              <w:rFonts w:ascii="Times New Roman" w:hAnsi="Times New Roman" w:eastAsia="宋体"/>
              <w:sz w:val="24"/>
              <w:szCs w:val="24"/>
            </w:rPr>
            <w:fldChar w:fldCharType="separate"/>
          </w:r>
          <w:r>
            <w:rPr>
              <w:rFonts w:ascii="Times New Roman" w:hAnsi="Times New Roman" w:eastAsia="宋体"/>
              <w:sz w:val="24"/>
              <w:szCs w:val="24"/>
            </w:rPr>
            <w:t>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_Toc15354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1.4 “生产经营场所中心经度”/“生产经营场所中心纬度”</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_Toc15354 \h </w:instrText>
          </w:r>
          <w:r>
            <w:rPr>
              <w:rFonts w:ascii="Times New Roman" w:hAnsi="Times New Roman" w:eastAsia="宋体"/>
              <w:sz w:val="24"/>
              <w:szCs w:val="24"/>
            </w:rPr>
            <w:fldChar w:fldCharType="separate"/>
          </w:r>
          <w:r>
            <w:rPr>
              <w:rFonts w:ascii="Times New Roman" w:hAnsi="Times New Roman" w:eastAsia="宋体"/>
              <w:sz w:val="24"/>
              <w:szCs w:val="24"/>
            </w:rPr>
            <w:t>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_Toc10027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1.5 是否属于“大气”、“总磷”、“总氮”、“重金属”控制区</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_Toc10027 \h </w:instrText>
          </w:r>
          <w:r>
            <w:rPr>
              <w:rFonts w:ascii="Times New Roman" w:hAnsi="Times New Roman" w:eastAsia="宋体"/>
              <w:sz w:val="24"/>
              <w:szCs w:val="24"/>
            </w:rPr>
            <w:fldChar w:fldCharType="separate"/>
          </w:r>
          <w:r>
            <w:rPr>
              <w:rFonts w:ascii="Times New Roman" w:hAnsi="Times New Roman" w:eastAsia="宋体"/>
              <w:sz w:val="24"/>
              <w:szCs w:val="24"/>
            </w:rPr>
            <w:t>10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_Toc16680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1.6 是否有环评</w:t>
          </w:r>
          <w:r>
            <w:rPr>
              <w:rFonts w:hint="eastAsia" w:ascii="Times New Roman" w:hAnsi="Times New Roman" w:eastAsia="宋体" w:cstheme="minorBidi"/>
              <w:bCs/>
              <w:snapToGrid/>
              <w:kern w:val="2"/>
              <w:sz w:val="24"/>
              <w:szCs w:val="24"/>
              <w:lang w:val="en-US" w:eastAsia="zh-CN"/>
            </w:rPr>
            <w:t>审批</w:t>
          </w:r>
          <w:r>
            <w:rPr>
              <w:rFonts w:hint="eastAsia" w:ascii="Times New Roman" w:hAnsi="Times New Roman" w:eastAsia="宋体" w:cstheme="minorBidi"/>
              <w:bCs/>
              <w:snapToGrid/>
              <w:kern w:val="2"/>
              <w:sz w:val="24"/>
              <w:szCs w:val="24"/>
            </w:rPr>
            <w:t>文件</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_Toc16680 \h </w:instrText>
          </w:r>
          <w:r>
            <w:rPr>
              <w:rFonts w:ascii="Times New Roman" w:hAnsi="Times New Roman" w:eastAsia="宋体"/>
              <w:sz w:val="24"/>
              <w:szCs w:val="24"/>
            </w:rPr>
            <w:fldChar w:fldCharType="separate"/>
          </w:r>
          <w:r>
            <w:rPr>
              <w:rFonts w:ascii="Times New Roman" w:hAnsi="Times New Roman" w:eastAsia="宋体"/>
              <w:sz w:val="24"/>
              <w:szCs w:val="24"/>
            </w:rPr>
            <w:t>10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_Toc26356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1.7 是否有地方政府对违规项目的认定或备案文件</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_Toc26356 \h </w:instrText>
          </w:r>
          <w:r>
            <w:rPr>
              <w:rFonts w:ascii="Times New Roman" w:hAnsi="Times New Roman" w:eastAsia="宋体"/>
              <w:sz w:val="24"/>
              <w:szCs w:val="24"/>
            </w:rPr>
            <w:fldChar w:fldCharType="separate"/>
          </w:r>
          <w:r>
            <w:rPr>
              <w:rFonts w:ascii="Times New Roman" w:hAnsi="Times New Roman" w:eastAsia="宋体"/>
              <w:sz w:val="24"/>
              <w:szCs w:val="24"/>
            </w:rPr>
            <w:t>10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_Toc18167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1.8 是否有主要污染物总量分配计划文件</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_Toc18167 \h </w:instrText>
          </w:r>
          <w:r>
            <w:rPr>
              <w:rFonts w:ascii="Times New Roman" w:hAnsi="Times New Roman" w:eastAsia="宋体"/>
              <w:sz w:val="24"/>
              <w:szCs w:val="24"/>
            </w:rPr>
            <w:fldChar w:fldCharType="separate"/>
          </w:r>
          <w:r>
            <w:rPr>
              <w:rFonts w:ascii="Times New Roman" w:hAnsi="Times New Roman" w:eastAsia="宋体"/>
              <w:sz w:val="24"/>
              <w:szCs w:val="24"/>
            </w:rPr>
            <w:t>10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_Toc27819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1.9 废气废水污染物控制指标</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_Toc27819 \h </w:instrText>
          </w:r>
          <w:r>
            <w:rPr>
              <w:rFonts w:ascii="Times New Roman" w:hAnsi="Times New Roman" w:eastAsia="宋体"/>
              <w:sz w:val="24"/>
              <w:szCs w:val="24"/>
            </w:rPr>
            <w:fldChar w:fldCharType="separate"/>
          </w:r>
          <w:r>
            <w:rPr>
              <w:rFonts w:ascii="Times New Roman" w:hAnsi="Times New Roman" w:eastAsia="宋体"/>
              <w:sz w:val="24"/>
              <w:szCs w:val="24"/>
            </w:rPr>
            <w:t>11</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_Toc15493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2、排污单位登记信息-主要产品</w:t>
          </w:r>
          <w:r>
            <w:rPr>
              <w:rFonts w:hint="eastAsia" w:ascii="Times New Roman" w:hAnsi="Times New Roman" w:eastAsia="宋体" w:cs="宋体"/>
              <w:spacing w:val="-6"/>
              <w:sz w:val="24"/>
              <w:szCs w:val="24"/>
              <w:lang w:val="en-US" w:eastAsia="zh-CN"/>
              <w14:textOutline w14:w="5791" w14:cap="flat" w14:cmpd="sng" w14:algn="ctr">
                <w14:solidFill>
                  <w14:srgbClr w14:val="000000"/>
                </w14:solidFill>
                <w14:prstDash w14:val="solid"/>
                <w14:miter w14:val="0"/>
              </w14:textOutline>
            </w:rPr>
            <w:t>及产能</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_Toc15493 \h </w:instrText>
          </w:r>
          <w:r>
            <w:rPr>
              <w:rFonts w:ascii="Times New Roman" w:hAnsi="Times New Roman" w:eastAsia="宋体"/>
              <w:sz w:val="24"/>
              <w:szCs w:val="24"/>
            </w:rPr>
            <w:fldChar w:fldCharType="separate"/>
          </w:r>
          <w:r>
            <w:rPr>
              <w:rFonts w:ascii="Times New Roman" w:hAnsi="Times New Roman" w:eastAsia="宋体"/>
              <w:sz w:val="24"/>
              <w:szCs w:val="24"/>
            </w:rPr>
            <w:t>12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_Toc5003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2.1 行业类别</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_Toc5003 \h </w:instrText>
          </w:r>
          <w:r>
            <w:rPr>
              <w:rFonts w:ascii="Times New Roman" w:hAnsi="Times New Roman" w:eastAsia="宋体"/>
              <w:sz w:val="24"/>
              <w:szCs w:val="24"/>
            </w:rPr>
            <w:fldChar w:fldCharType="separate"/>
          </w:r>
          <w:r>
            <w:rPr>
              <w:rFonts w:ascii="Times New Roman" w:hAnsi="Times New Roman" w:eastAsia="宋体"/>
              <w:sz w:val="24"/>
              <w:szCs w:val="24"/>
            </w:rPr>
            <w:t>12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_Toc24170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2.2 主要生产单元名称、主要工艺名称、生产设施名称</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_Toc24170 \h </w:instrText>
          </w:r>
          <w:r>
            <w:rPr>
              <w:rFonts w:ascii="Times New Roman" w:hAnsi="Times New Roman" w:eastAsia="宋体"/>
              <w:sz w:val="24"/>
              <w:szCs w:val="24"/>
            </w:rPr>
            <w:fldChar w:fldCharType="separate"/>
          </w:r>
          <w:r>
            <w:rPr>
              <w:rFonts w:ascii="Times New Roman" w:hAnsi="Times New Roman" w:eastAsia="宋体"/>
              <w:sz w:val="24"/>
              <w:szCs w:val="24"/>
            </w:rPr>
            <w:t>12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_Toc25324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2.3 主要产品及产能</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_Toc25324 \h </w:instrText>
          </w:r>
          <w:r>
            <w:rPr>
              <w:rFonts w:ascii="Times New Roman" w:hAnsi="Times New Roman" w:eastAsia="宋体"/>
              <w:sz w:val="24"/>
              <w:szCs w:val="24"/>
            </w:rPr>
            <w:fldChar w:fldCharType="separate"/>
          </w:r>
          <w:r>
            <w:rPr>
              <w:rFonts w:ascii="Times New Roman" w:hAnsi="Times New Roman" w:eastAsia="宋体"/>
              <w:sz w:val="24"/>
              <w:szCs w:val="24"/>
            </w:rPr>
            <w:t>12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_Toc26425 </w:instrText>
          </w:r>
          <w:r>
            <w:rPr>
              <w:rFonts w:ascii="Times New Roman" w:hAnsi="Times New Roman" w:eastAsia="宋体"/>
              <w:sz w:val="24"/>
              <w:szCs w:val="24"/>
            </w:rPr>
            <w:fldChar w:fldCharType="separate"/>
          </w:r>
          <w:r>
            <w:rPr>
              <w:rFonts w:hint="eastAsia"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3、排污单位登记信息-</w:t>
          </w:r>
          <w:r>
            <w:rPr>
              <w:rFonts w:hint="eastAsia" w:ascii="Times New Roman" w:hAnsi="Times New Roman" w:eastAsia="宋体" w:cs="宋体"/>
              <w:spacing w:val="-6"/>
              <w:sz w:val="24"/>
              <w:szCs w:val="24"/>
              <w:lang w:eastAsia="zh-CN"/>
              <w14:textOutline w14:w="5791" w14:cap="flat" w14:cmpd="sng" w14:algn="ctr">
                <w14:solidFill>
                  <w14:srgbClr w14:val="000000"/>
                </w14:solidFill>
                <w14:prstDash w14:val="solid"/>
                <w14:miter w14:val="0"/>
              </w14:textOutline>
            </w:rPr>
            <w:t>主要产品及产能补充</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_Toc26425 \h </w:instrText>
          </w:r>
          <w:r>
            <w:rPr>
              <w:rFonts w:ascii="Times New Roman" w:hAnsi="Times New Roman" w:eastAsia="宋体"/>
              <w:sz w:val="24"/>
              <w:szCs w:val="24"/>
            </w:rPr>
            <w:fldChar w:fldCharType="separate"/>
          </w:r>
          <w:r>
            <w:rPr>
              <w:rFonts w:ascii="Times New Roman" w:hAnsi="Times New Roman" w:eastAsia="宋体"/>
              <w:sz w:val="24"/>
              <w:szCs w:val="24"/>
            </w:rPr>
            <w:t>14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_Toc8516 </w:instrText>
          </w:r>
          <w:r>
            <w:rPr>
              <w:rFonts w:ascii="Times New Roman" w:hAnsi="Times New Roman" w:eastAsia="宋体"/>
              <w:sz w:val="24"/>
              <w:szCs w:val="24"/>
            </w:rPr>
            <w:fldChar w:fldCharType="separate"/>
          </w:r>
          <w:r>
            <w:rPr>
              <w:rFonts w:hint="eastAsia" w:ascii="Times New Roman" w:hAnsi="Times New Roman" w:eastAsia="宋体" w:cs="宋体"/>
              <w:spacing w:val="-6"/>
              <w:sz w:val="24"/>
              <w:szCs w:val="24"/>
              <w:lang w:eastAsia="zh-CN"/>
              <w14:textOutline w14:w="5791" w14:cap="flat" w14:cmpd="sng" w14:algn="ctr">
                <w14:solidFill>
                  <w14:srgbClr w14:val="000000"/>
                </w14:solidFill>
                <w14:prstDash w14:val="solid"/>
                <w14:miter w14:val="0"/>
              </w14:textOutline>
            </w:rPr>
            <w:t>4、排污单位登记信息-主要原辅材料及燃料</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_Toc8516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_Toc26875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4.1 有毒有害成分及占比</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_Toc26875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_Toc4160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4.2 原料及辅料种类及使用量</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_Toc4160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_Toc16226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4.3 燃料</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_Toc16226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_Toc8856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4.4 生产工艺流程图</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_Toc8856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_Toc18641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4.5 生产厂区总平面布置图</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_Toc18641 \h </w:instrText>
          </w:r>
          <w:r>
            <w:rPr>
              <w:rFonts w:ascii="Times New Roman" w:hAnsi="Times New Roman" w:eastAsia="宋体"/>
              <w:sz w:val="24"/>
              <w:szCs w:val="24"/>
            </w:rPr>
            <w:fldChar w:fldCharType="separate"/>
          </w:r>
          <w:r>
            <w:rPr>
              <w:rFonts w:ascii="Times New Roman" w:hAnsi="Times New Roman" w:eastAsia="宋体"/>
              <w:sz w:val="24"/>
              <w:szCs w:val="24"/>
            </w:rPr>
            <w:t>15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_Toc16777 </w:instrText>
          </w:r>
          <w:r>
            <w:rPr>
              <w:rFonts w:ascii="Times New Roman" w:hAnsi="Times New Roman" w:eastAsia="宋体"/>
              <w:sz w:val="24"/>
              <w:szCs w:val="24"/>
            </w:rPr>
            <w:fldChar w:fldCharType="separate"/>
          </w:r>
          <w:r>
            <w:rPr>
              <w:rFonts w:hint="eastAsia"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5、排污单位登记信息-排污节点及污染治理设施</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_Toc16777 \h </w:instrText>
          </w:r>
          <w:r>
            <w:rPr>
              <w:rFonts w:ascii="Times New Roman" w:hAnsi="Times New Roman" w:eastAsia="宋体"/>
              <w:sz w:val="24"/>
              <w:szCs w:val="24"/>
            </w:rPr>
            <w:fldChar w:fldCharType="separate"/>
          </w:r>
          <w:r>
            <w:rPr>
              <w:rFonts w:ascii="Times New Roman" w:hAnsi="Times New Roman" w:eastAsia="宋体"/>
              <w:sz w:val="24"/>
              <w:szCs w:val="24"/>
            </w:rPr>
            <w:t>16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_Toc17513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（一）废气产排污节点、污染物及污染治理设施信息表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_Toc17513 \h </w:instrText>
          </w:r>
          <w:r>
            <w:rPr>
              <w:rFonts w:ascii="Times New Roman" w:hAnsi="Times New Roman" w:eastAsia="宋体"/>
              <w:sz w:val="24"/>
              <w:szCs w:val="24"/>
            </w:rPr>
            <w:fldChar w:fldCharType="separate"/>
          </w:r>
          <w:r>
            <w:rPr>
              <w:rFonts w:ascii="Times New Roman" w:hAnsi="Times New Roman" w:eastAsia="宋体"/>
              <w:sz w:val="24"/>
              <w:szCs w:val="24"/>
            </w:rPr>
            <w:t>16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_Toc10012 </w:instrText>
          </w:r>
          <w:r>
            <w:rPr>
              <w:rFonts w:ascii="Times New Roman" w:hAnsi="Times New Roman" w:eastAsia="宋体"/>
              <w:sz w:val="24"/>
              <w:szCs w:val="24"/>
            </w:rPr>
            <w:fldChar w:fldCharType="separate"/>
          </w:r>
          <w:r>
            <w:rPr>
              <w:rFonts w:ascii="Times New Roman" w:hAnsi="Times New Roman" w:eastAsia="宋体" w:cs="宋体"/>
              <w:bCs/>
              <w:spacing w:val="-11"/>
              <w:sz w:val="24"/>
              <w:szCs w:val="24"/>
            </w:rPr>
            <w:t>（二）废水类别、污染物及污染治理设施信息表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_Toc10012 \h </w:instrText>
          </w:r>
          <w:r>
            <w:rPr>
              <w:rFonts w:ascii="Times New Roman" w:hAnsi="Times New Roman" w:eastAsia="宋体"/>
              <w:sz w:val="24"/>
              <w:szCs w:val="24"/>
            </w:rPr>
            <w:fldChar w:fldCharType="separate"/>
          </w:r>
          <w:r>
            <w:rPr>
              <w:rFonts w:ascii="Times New Roman" w:hAnsi="Times New Roman" w:eastAsia="宋体"/>
              <w:sz w:val="24"/>
              <w:szCs w:val="24"/>
            </w:rPr>
            <w:t>16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_Toc26045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6、大气污染物排放信息-排放口</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_Toc26045 \h </w:instrText>
          </w:r>
          <w:r>
            <w:rPr>
              <w:rFonts w:ascii="Times New Roman" w:hAnsi="Times New Roman" w:eastAsia="宋体"/>
              <w:sz w:val="24"/>
              <w:szCs w:val="24"/>
            </w:rPr>
            <w:fldChar w:fldCharType="separate"/>
          </w:r>
          <w:r>
            <w:rPr>
              <w:rFonts w:ascii="Times New Roman" w:hAnsi="Times New Roman" w:eastAsia="宋体"/>
              <w:sz w:val="24"/>
              <w:szCs w:val="24"/>
            </w:rPr>
            <w:t>18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_Toc15263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（一）大气排放口基本情况表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_Toc15263 \h </w:instrText>
          </w:r>
          <w:r>
            <w:rPr>
              <w:rFonts w:ascii="Times New Roman" w:hAnsi="Times New Roman" w:eastAsia="宋体"/>
              <w:sz w:val="24"/>
              <w:szCs w:val="24"/>
            </w:rPr>
            <w:fldChar w:fldCharType="separate"/>
          </w:r>
          <w:r>
            <w:rPr>
              <w:rFonts w:ascii="Times New Roman" w:hAnsi="Times New Roman" w:eastAsia="宋体"/>
              <w:sz w:val="24"/>
              <w:szCs w:val="24"/>
            </w:rPr>
            <w:t>18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_Toc29400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（二）废气污染物排放执行标准信息表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_Toc29400 \h </w:instrText>
          </w:r>
          <w:r>
            <w:rPr>
              <w:rFonts w:ascii="Times New Roman" w:hAnsi="Times New Roman" w:eastAsia="宋体"/>
              <w:sz w:val="24"/>
              <w:szCs w:val="24"/>
            </w:rPr>
            <w:fldChar w:fldCharType="separate"/>
          </w:r>
          <w:r>
            <w:rPr>
              <w:rFonts w:ascii="Times New Roman" w:hAnsi="Times New Roman" w:eastAsia="宋体"/>
              <w:sz w:val="24"/>
              <w:szCs w:val="24"/>
            </w:rPr>
            <w:t>18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_Toc6146 </w:instrText>
          </w:r>
          <w:r>
            <w:rPr>
              <w:rFonts w:ascii="Times New Roman" w:hAnsi="Times New Roman" w:eastAsia="宋体"/>
              <w:sz w:val="24"/>
              <w:szCs w:val="24"/>
            </w:rPr>
            <w:fldChar w:fldCharType="separate"/>
          </w:r>
          <w:r>
            <w:rPr>
              <w:rFonts w:hint="eastAsia" w:ascii="Times New Roman" w:hAnsi="Times New Roman" w:eastAsia="宋体" w:cs="宋体"/>
              <w:spacing w:val="-6"/>
              <w:sz w:val="24"/>
              <w:szCs w:val="24"/>
              <w:lang w:val="en-US" w:eastAsia="zh-CN"/>
              <w14:textOutline w14:w="5791" w14:cap="flat" w14:cmpd="sng" w14:algn="ctr">
                <w14:solidFill>
                  <w14:srgbClr w14:val="000000"/>
                </w14:solidFill>
                <w14:prstDash w14:val="solid"/>
                <w14:miter w14:val="0"/>
              </w14:textOutline>
            </w:rPr>
            <w:t>7、大气污染物排放信息-有组织排放信息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_Toc6146 \h </w:instrText>
          </w:r>
          <w:r>
            <w:rPr>
              <w:rFonts w:ascii="Times New Roman" w:hAnsi="Times New Roman" w:eastAsia="宋体"/>
              <w:sz w:val="24"/>
              <w:szCs w:val="24"/>
            </w:rPr>
            <w:fldChar w:fldCharType="separate"/>
          </w:r>
          <w:r>
            <w:rPr>
              <w:rFonts w:ascii="Times New Roman" w:hAnsi="Times New Roman" w:eastAsia="宋体"/>
              <w:sz w:val="24"/>
              <w:szCs w:val="24"/>
            </w:rPr>
            <w:t>19</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_Toc10165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8、大气污染物排放信息-无组织排放信息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_Toc10165 \h </w:instrText>
          </w:r>
          <w:r>
            <w:rPr>
              <w:rFonts w:ascii="Times New Roman" w:hAnsi="Times New Roman" w:eastAsia="宋体"/>
              <w:sz w:val="24"/>
              <w:szCs w:val="24"/>
            </w:rPr>
            <w:fldChar w:fldCharType="separate"/>
          </w:r>
          <w:r>
            <w:rPr>
              <w:rFonts w:ascii="Times New Roman" w:hAnsi="Times New Roman" w:eastAsia="宋体"/>
              <w:sz w:val="24"/>
              <w:szCs w:val="24"/>
            </w:rPr>
            <w:t>20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_Toc7154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8.1 大气污染物无组织排放信息表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_Toc7154 \h </w:instrText>
          </w:r>
          <w:r>
            <w:rPr>
              <w:rFonts w:ascii="Times New Roman" w:hAnsi="Times New Roman" w:eastAsia="宋体"/>
              <w:sz w:val="24"/>
              <w:szCs w:val="24"/>
            </w:rPr>
            <w:fldChar w:fldCharType="separate"/>
          </w:r>
          <w:r>
            <w:rPr>
              <w:rFonts w:ascii="Times New Roman" w:hAnsi="Times New Roman" w:eastAsia="宋体"/>
              <w:sz w:val="24"/>
              <w:szCs w:val="24"/>
            </w:rPr>
            <w:t>20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_Toc12907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8.2 无组织许可排放量</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_Toc12907 \h </w:instrText>
          </w:r>
          <w:r>
            <w:rPr>
              <w:rFonts w:ascii="Times New Roman" w:hAnsi="Times New Roman" w:eastAsia="宋体"/>
              <w:sz w:val="24"/>
              <w:szCs w:val="24"/>
            </w:rPr>
            <w:fldChar w:fldCharType="separate"/>
          </w:r>
          <w:r>
            <w:rPr>
              <w:rFonts w:ascii="Times New Roman" w:hAnsi="Times New Roman" w:eastAsia="宋体"/>
              <w:sz w:val="24"/>
              <w:szCs w:val="24"/>
            </w:rPr>
            <w:t>20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_Toc15843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8.3 无组织排放控制要求</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_Toc15843 \h </w:instrText>
          </w:r>
          <w:r>
            <w:rPr>
              <w:rFonts w:ascii="Times New Roman" w:hAnsi="Times New Roman" w:eastAsia="宋体"/>
              <w:sz w:val="24"/>
              <w:szCs w:val="24"/>
            </w:rPr>
            <w:fldChar w:fldCharType="separate"/>
          </w:r>
          <w:r>
            <w:rPr>
              <w:rFonts w:ascii="Times New Roman" w:hAnsi="Times New Roman" w:eastAsia="宋体"/>
              <w:sz w:val="24"/>
              <w:szCs w:val="24"/>
            </w:rPr>
            <w:t>20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_Toc30085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9、大气污染物排放信息-企业大气排放总许可量</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_Toc30085 \h </w:instrText>
          </w:r>
          <w:r>
            <w:rPr>
              <w:rFonts w:ascii="Times New Roman" w:hAnsi="Times New Roman" w:eastAsia="宋体"/>
              <w:sz w:val="24"/>
              <w:szCs w:val="24"/>
            </w:rPr>
            <w:fldChar w:fldCharType="separate"/>
          </w:r>
          <w:r>
            <w:rPr>
              <w:rFonts w:ascii="Times New Roman" w:hAnsi="Times New Roman" w:eastAsia="宋体"/>
              <w:sz w:val="24"/>
              <w:szCs w:val="24"/>
            </w:rPr>
            <w:t>22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_Toc11377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9.1 是否需要按月细化</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_Toc11377 \h </w:instrText>
          </w:r>
          <w:r>
            <w:rPr>
              <w:rFonts w:ascii="Times New Roman" w:hAnsi="Times New Roman" w:eastAsia="宋体"/>
              <w:sz w:val="24"/>
              <w:szCs w:val="24"/>
            </w:rPr>
            <w:fldChar w:fldCharType="separate"/>
          </w:r>
          <w:r>
            <w:rPr>
              <w:rFonts w:ascii="Times New Roman" w:hAnsi="Times New Roman" w:eastAsia="宋体"/>
              <w:sz w:val="24"/>
              <w:szCs w:val="24"/>
            </w:rPr>
            <w:t>22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_Toc27241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9.2 企业大气排放总许可量</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_Toc27241 \h </w:instrText>
          </w:r>
          <w:r>
            <w:rPr>
              <w:rFonts w:ascii="Times New Roman" w:hAnsi="Times New Roman" w:eastAsia="宋体"/>
              <w:sz w:val="24"/>
              <w:szCs w:val="24"/>
            </w:rPr>
            <w:fldChar w:fldCharType="separate"/>
          </w:r>
          <w:r>
            <w:rPr>
              <w:rFonts w:ascii="Times New Roman" w:hAnsi="Times New Roman" w:eastAsia="宋体"/>
              <w:sz w:val="24"/>
              <w:szCs w:val="24"/>
            </w:rPr>
            <w:t>22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_Toc21436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10、水污染物排放信息-排放口</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_Toc21436 \h </w:instrText>
          </w:r>
          <w:r>
            <w:rPr>
              <w:rFonts w:ascii="Times New Roman" w:hAnsi="Times New Roman" w:eastAsia="宋体"/>
              <w:sz w:val="24"/>
              <w:szCs w:val="24"/>
            </w:rPr>
            <w:fldChar w:fldCharType="separate"/>
          </w:r>
          <w:r>
            <w:rPr>
              <w:rFonts w:ascii="Times New Roman" w:hAnsi="Times New Roman" w:eastAsia="宋体"/>
              <w:sz w:val="24"/>
              <w:szCs w:val="24"/>
            </w:rPr>
            <w:t>23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_Toc3009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10.1 废水直接排放口基本情况表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_Toc3009 \h </w:instrText>
          </w:r>
          <w:r>
            <w:rPr>
              <w:rFonts w:ascii="Times New Roman" w:hAnsi="Times New Roman" w:eastAsia="宋体"/>
              <w:sz w:val="24"/>
              <w:szCs w:val="24"/>
            </w:rPr>
            <w:fldChar w:fldCharType="separate"/>
          </w:r>
          <w:r>
            <w:rPr>
              <w:rFonts w:ascii="Times New Roman" w:hAnsi="Times New Roman" w:eastAsia="宋体"/>
              <w:sz w:val="24"/>
              <w:szCs w:val="24"/>
            </w:rPr>
            <w:t>23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_Toc11946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10.2 入河排污口信息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_Toc11946 \h </w:instrText>
          </w:r>
          <w:r>
            <w:rPr>
              <w:rFonts w:ascii="Times New Roman" w:hAnsi="Times New Roman" w:eastAsia="宋体"/>
              <w:sz w:val="24"/>
              <w:szCs w:val="24"/>
            </w:rPr>
            <w:fldChar w:fldCharType="separate"/>
          </w:r>
          <w:r>
            <w:rPr>
              <w:rFonts w:ascii="Times New Roman" w:hAnsi="Times New Roman" w:eastAsia="宋体"/>
              <w:sz w:val="24"/>
              <w:szCs w:val="24"/>
            </w:rPr>
            <w:t>23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_Toc12340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10.3 雨水排放口基本情况表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_Toc12340 \h </w:instrText>
          </w:r>
          <w:r>
            <w:rPr>
              <w:rFonts w:ascii="Times New Roman" w:hAnsi="Times New Roman" w:eastAsia="宋体"/>
              <w:sz w:val="24"/>
              <w:szCs w:val="24"/>
            </w:rPr>
            <w:fldChar w:fldCharType="separate"/>
          </w:r>
          <w:r>
            <w:rPr>
              <w:rFonts w:ascii="Times New Roman" w:hAnsi="Times New Roman" w:eastAsia="宋体"/>
              <w:sz w:val="24"/>
              <w:szCs w:val="24"/>
            </w:rPr>
            <w:t>23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_Toc19254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10.4 废水间接排放口基本情况表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_Toc19254 \h </w:instrText>
          </w:r>
          <w:r>
            <w:rPr>
              <w:rFonts w:ascii="Times New Roman" w:hAnsi="Times New Roman" w:eastAsia="宋体"/>
              <w:sz w:val="24"/>
              <w:szCs w:val="24"/>
            </w:rPr>
            <w:fldChar w:fldCharType="separate"/>
          </w:r>
          <w:r>
            <w:rPr>
              <w:rFonts w:ascii="Times New Roman" w:hAnsi="Times New Roman" w:eastAsia="宋体"/>
              <w:sz w:val="24"/>
              <w:szCs w:val="24"/>
            </w:rPr>
            <w:t>23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_Toc16382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10.5 废水污染物排放执行标准表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_Toc16382 \h </w:instrText>
          </w:r>
          <w:r>
            <w:rPr>
              <w:rFonts w:ascii="Times New Roman" w:hAnsi="Times New Roman" w:eastAsia="宋体"/>
              <w:sz w:val="24"/>
              <w:szCs w:val="24"/>
            </w:rPr>
            <w:fldChar w:fldCharType="separate"/>
          </w:r>
          <w:r>
            <w:rPr>
              <w:rFonts w:ascii="Times New Roman" w:hAnsi="Times New Roman" w:eastAsia="宋体"/>
              <w:sz w:val="24"/>
              <w:szCs w:val="24"/>
            </w:rPr>
            <w:t>24</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_Toc25138 </w:instrText>
          </w:r>
          <w:r>
            <w:rPr>
              <w:rFonts w:ascii="Times New Roman" w:hAnsi="Times New Roman" w:eastAsia="宋体"/>
              <w:sz w:val="24"/>
              <w:szCs w:val="24"/>
            </w:rPr>
            <w:fldChar w:fldCharType="separate"/>
          </w:r>
          <w:r>
            <w:rPr>
              <w:rFonts w:hint="eastAsia"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11、水污染物排放信息--申请排放信息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_Toc25138 \h </w:instrText>
          </w:r>
          <w:r>
            <w:rPr>
              <w:rFonts w:ascii="Times New Roman" w:hAnsi="Times New Roman" w:eastAsia="宋体"/>
              <w:sz w:val="24"/>
              <w:szCs w:val="24"/>
            </w:rPr>
            <w:fldChar w:fldCharType="separate"/>
          </w:r>
          <w:r>
            <w:rPr>
              <w:rFonts w:ascii="Times New Roman" w:hAnsi="Times New Roman" w:eastAsia="宋体"/>
              <w:sz w:val="24"/>
              <w:szCs w:val="24"/>
            </w:rPr>
            <w:t>25</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_Toc17439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12、固体废物</w:t>
          </w:r>
          <w:r>
            <w:rPr>
              <w:rFonts w:hint="eastAsia" w:ascii="Times New Roman" w:hAnsi="Times New Roman" w:eastAsia="宋体" w:cs="宋体"/>
              <w:spacing w:val="-6"/>
              <w:sz w:val="24"/>
              <w:szCs w:val="24"/>
              <w:lang w:val="en-US" w:eastAsia="zh-CN"/>
              <w14:textOutline w14:w="5791" w14:cap="flat" w14:cmpd="sng" w14:algn="ctr">
                <w14:solidFill>
                  <w14:srgbClr w14:val="000000"/>
                </w14:solidFill>
                <w14:prstDash w14:val="solid"/>
                <w14:miter w14:val="0"/>
              </w14:textOutline>
            </w:rPr>
            <w:t>管理</w:t>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_Toc17439 \h </w:instrText>
          </w:r>
          <w:r>
            <w:rPr>
              <w:rFonts w:ascii="Times New Roman" w:hAnsi="Times New Roman" w:eastAsia="宋体"/>
              <w:sz w:val="24"/>
              <w:szCs w:val="24"/>
            </w:rPr>
            <w:fldChar w:fldCharType="separate"/>
          </w:r>
          <w:r>
            <w:rPr>
              <w:rFonts w:ascii="Times New Roman" w:hAnsi="Times New Roman" w:eastAsia="宋体"/>
              <w:sz w:val="24"/>
              <w:szCs w:val="24"/>
            </w:rPr>
            <w:t>26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_Toc9770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12.1 固体废物基础信息表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_Toc9770 \h </w:instrText>
          </w:r>
          <w:r>
            <w:rPr>
              <w:rFonts w:ascii="Times New Roman" w:hAnsi="Times New Roman" w:eastAsia="宋体"/>
              <w:sz w:val="24"/>
              <w:szCs w:val="24"/>
            </w:rPr>
            <w:fldChar w:fldCharType="separate"/>
          </w:r>
          <w:r>
            <w:rPr>
              <w:rFonts w:ascii="Times New Roman" w:hAnsi="Times New Roman" w:eastAsia="宋体"/>
              <w:sz w:val="24"/>
              <w:szCs w:val="24"/>
            </w:rPr>
            <w:t>26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_Toc1089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12.2 委托贮存/利用/处置环节污染防控技术要求</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_Toc1089 \h </w:instrText>
          </w:r>
          <w:r>
            <w:rPr>
              <w:rFonts w:ascii="Times New Roman" w:hAnsi="Times New Roman" w:eastAsia="宋体"/>
              <w:sz w:val="24"/>
              <w:szCs w:val="24"/>
            </w:rPr>
            <w:fldChar w:fldCharType="separate"/>
          </w:r>
          <w:r>
            <w:rPr>
              <w:rFonts w:ascii="Times New Roman" w:hAnsi="Times New Roman" w:eastAsia="宋体"/>
              <w:sz w:val="24"/>
              <w:szCs w:val="24"/>
            </w:rPr>
            <w:t>26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_Toc19015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12.3 自行贮存和自行利用/处置设施信息表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_Toc19015 \h </w:instrText>
          </w:r>
          <w:r>
            <w:rPr>
              <w:rFonts w:ascii="Times New Roman" w:hAnsi="Times New Roman" w:eastAsia="宋体"/>
              <w:sz w:val="24"/>
              <w:szCs w:val="24"/>
            </w:rPr>
            <w:fldChar w:fldCharType="separate"/>
          </w:r>
          <w:r>
            <w:rPr>
              <w:rFonts w:ascii="Times New Roman" w:hAnsi="Times New Roman" w:eastAsia="宋体"/>
              <w:sz w:val="24"/>
              <w:szCs w:val="24"/>
            </w:rPr>
            <w:t>26</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_Toc20609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13、环境管理要求-</w:t>
          </w:r>
          <w:r>
            <w:rPr>
              <w:rFonts w:hint="eastAsia"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w:t>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自行监测要求</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_Toc20609 \h </w:instrText>
          </w:r>
          <w:r>
            <w:rPr>
              <w:rFonts w:ascii="Times New Roman" w:hAnsi="Times New Roman" w:eastAsia="宋体"/>
              <w:sz w:val="24"/>
              <w:szCs w:val="24"/>
            </w:rPr>
            <w:fldChar w:fldCharType="separate"/>
          </w:r>
          <w:r>
            <w:rPr>
              <w:rFonts w:ascii="Times New Roman" w:hAnsi="Times New Roman" w:eastAsia="宋体"/>
              <w:sz w:val="24"/>
              <w:szCs w:val="24"/>
            </w:rPr>
            <w:t>27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_Toc2404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13.1 自行监测要求表</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_Toc2404 \h </w:instrText>
          </w:r>
          <w:r>
            <w:rPr>
              <w:rFonts w:ascii="Times New Roman" w:hAnsi="Times New Roman" w:eastAsia="宋体"/>
              <w:sz w:val="24"/>
              <w:szCs w:val="24"/>
            </w:rPr>
            <w:fldChar w:fldCharType="separate"/>
          </w:r>
          <w:r>
            <w:rPr>
              <w:rFonts w:ascii="Times New Roman" w:hAnsi="Times New Roman" w:eastAsia="宋体"/>
              <w:sz w:val="24"/>
              <w:szCs w:val="24"/>
            </w:rPr>
            <w:t>27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_Toc16056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13.2 其他自行监测及记录信息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_Toc16056 \h </w:instrText>
          </w:r>
          <w:r>
            <w:rPr>
              <w:rFonts w:ascii="Times New Roman" w:hAnsi="Times New Roman" w:eastAsia="宋体"/>
              <w:sz w:val="24"/>
              <w:szCs w:val="24"/>
            </w:rPr>
            <w:fldChar w:fldCharType="separate"/>
          </w:r>
          <w:r>
            <w:rPr>
              <w:rFonts w:ascii="Times New Roman" w:hAnsi="Times New Roman" w:eastAsia="宋体"/>
              <w:sz w:val="24"/>
              <w:szCs w:val="24"/>
            </w:rPr>
            <w:t>27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_Toc30388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13.3 监测质量保证与质量控制要求</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_Toc30388 \h </w:instrText>
          </w:r>
          <w:r>
            <w:rPr>
              <w:rFonts w:ascii="Times New Roman" w:hAnsi="Times New Roman" w:eastAsia="宋体"/>
              <w:sz w:val="24"/>
              <w:szCs w:val="24"/>
            </w:rPr>
            <w:fldChar w:fldCharType="separate"/>
          </w:r>
          <w:r>
            <w:rPr>
              <w:rFonts w:ascii="Times New Roman" w:hAnsi="Times New Roman" w:eastAsia="宋体"/>
              <w:sz w:val="24"/>
              <w:szCs w:val="24"/>
            </w:rPr>
            <w:t>27</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_Toc7944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13.4 监测数据记录、整理、存档要求</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_Toc7944 \h </w:instrText>
          </w:r>
          <w:r>
            <w:rPr>
              <w:rFonts w:ascii="Times New Roman" w:hAnsi="Times New Roman" w:eastAsia="宋体"/>
              <w:sz w:val="24"/>
              <w:szCs w:val="24"/>
            </w:rPr>
            <w:fldChar w:fldCharType="separate"/>
          </w:r>
          <w:r>
            <w:rPr>
              <w:rFonts w:ascii="Times New Roman" w:hAnsi="Times New Roman" w:eastAsia="宋体"/>
              <w:sz w:val="24"/>
              <w:szCs w:val="24"/>
            </w:rPr>
            <w:t>28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3"/>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_Toc27815 </w:instrText>
          </w:r>
          <w:r>
            <w:rPr>
              <w:rFonts w:ascii="Times New Roman" w:hAnsi="Times New Roman" w:eastAsia="宋体"/>
              <w:sz w:val="24"/>
              <w:szCs w:val="24"/>
            </w:rPr>
            <w:fldChar w:fldCharType="separate"/>
          </w:r>
          <w:r>
            <w:rPr>
              <w:rFonts w:hint="eastAsia" w:ascii="Times New Roman" w:hAnsi="Times New Roman" w:eastAsia="宋体" w:cstheme="minorBidi"/>
              <w:bCs/>
              <w:snapToGrid/>
              <w:kern w:val="2"/>
              <w:sz w:val="24"/>
              <w:szCs w:val="24"/>
            </w:rPr>
            <w:t>13.5 监测点位示意图</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_Toc27815 \h </w:instrText>
          </w:r>
          <w:r>
            <w:rPr>
              <w:rFonts w:ascii="Times New Roman" w:hAnsi="Times New Roman" w:eastAsia="宋体"/>
              <w:sz w:val="24"/>
              <w:szCs w:val="24"/>
            </w:rPr>
            <w:fldChar w:fldCharType="separate"/>
          </w:r>
          <w:r>
            <w:rPr>
              <w:rFonts w:ascii="Times New Roman" w:hAnsi="Times New Roman" w:eastAsia="宋体"/>
              <w:sz w:val="24"/>
              <w:szCs w:val="24"/>
            </w:rPr>
            <w:t>28</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_Toc18856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14、环境管理要求-环境管理台账记录要求</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_Toc18856 \h </w:instrText>
          </w:r>
          <w:r>
            <w:rPr>
              <w:rFonts w:ascii="Times New Roman" w:hAnsi="Times New Roman" w:eastAsia="宋体"/>
              <w:sz w:val="24"/>
              <w:szCs w:val="24"/>
            </w:rPr>
            <w:fldChar w:fldCharType="separate"/>
          </w:r>
          <w:r>
            <w:rPr>
              <w:rFonts w:ascii="Times New Roman" w:hAnsi="Times New Roman" w:eastAsia="宋体"/>
              <w:sz w:val="24"/>
              <w:szCs w:val="24"/>
            </w:rPr>
            <w:t>29</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_Toc21493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15、补充登记信息</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_Toc21493 \h </w:instrText>
          </w:r>
          <w:r>
            <w:rPr>
              <w:rFonts w:ascii="Times New Roman" w:hAnsi="Times New Roman" w:eastAsia="宋体"/>
              <w:sz w:val="24"/>
              <w:szCs w:val="24"/>
            </w:rPr>
            <w:fldChar w:fldCharType="separate"/>
          </w:r>
          <w:r>
            <w:rPr>
              <w:rFonts w:ascii="Times New Roman" w:hAnsi="Times New Roman" w:eastAsia="宋体"/>
              <w:sz w:val="24"/>
              <w:szCs w:val="24"/>
            </w:rPr>
            <w:t>30</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_Toc14415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16、地方生态环境主管部门依法增加的内容</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_Toc14415 \h </w:instrText>
          </w:r>
          <w:r>
            <w:rPr>
              <w:rFonts w:ascii="Times New Roman" w:hAnsi="Times New Roman" w:eastAsia="宋体"/>
              <w:sz w:val="24"/>
              <w:szCs w:val="24"/>
            </w:rPr>
            <w:fldChar w:fldCharType="separate"/>
          </w:r>
          <w:r>
            <w:rPr>
              <w:rFonts w:ascii="Times New Roman" w:hAnsi="Times New Roman" w:eastAsia="宋体"/>
              <w:sz w:val="24"/>
              <w:szCs w:val="24"/>
            </w:rPr>
            <w:t>31</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rPr>
              <w:rFonts w:ascii="Times New Roman" w:hAnsi="Times New Roman" w:eastAsia="宋体"/>
              <w:sz w:val="24"/>
              <w:szCs w:val="24"/>
            </w:rPr>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_Toc3058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17、相关附件</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_Toc3058 \h </w:instrText>
          </w:r>
          <w:r>
            <w:rPr>
              <w:rFonts w:ascii="Times New Roman" w:hAnsi="Times New Roman" w:eastAsia="宋体"/>
              <w:sz w:val="24"/>
              <w:szCs w:val="24"/>
            </w:rPr>
            <w:fldChar w:fldCharType="separate"/>
          </w:r>
          <w:r>
            <w:rPr>
              <w:rFonts w:ascii="Times New Roman" w:hAnsi="Times New Roman" w:eastAsia="宋体"/>
              <w:sz w:val="24"/>
              <w:szCs w:val="24"/>
            </w:rPr>
            <w:t>32</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pStyle w:val="8"/>
            <w:keepNext w:val="0"/>
            <w:keepLines w:val="0"/>
            <w:pageBreakBefore w:val="0"/>
            <w:widowControl/>
            <w:tabs>
              <w:tab w:val="right" w:leader="dot" w:pos="8357"/>
            </w:tabs>
            <w:kinsoku w:val="0"/>
            <w:wordWrap/>
            <w:overflowPunct/>
            <w:topLinePunct w:val="0"/>
            <w:autoSpaceDE w:val="0"/>
            <w:autoSpaceDN w:val="0"/>
            <w:bidi w:val="0"/>
            <w:adjustRightInd w:val="0"/>
            <w:snapToGrid w:val="0"/>
            <w:spacing w:line="360" w:lineRule="auto"/>
            <w:textAlignment w:val="baseline"/>
          </w:pPr>
          <w:r>
            <w:rPr>
              <w:rFonts w:ascii="Times New Roman" w:hAnsi="Times New Roman" w:eastAsia="宋体"/>
              <w:sz w:val="24"/>
              <w:szCs w:val="24"/>
            </w:rPr>
            <w:fldChar w:fldCharType="begin"/>
          </w:r>
          <w:r>
            <w:rPr>
              <w:rFonts w:ascii="Times New Roman" w:hAnsi="Times New Roman" w:eastAsia="宋体"/>
              <w:sz w:val="24"/>
              <w:szCs w:val="24"/>
            </w:rPr>
            <w:instrText xml:space="preserve"> HYPERLINK \l _Toc12199 </w:instrText>
          </w:r>
          <w:r>
            <w:rPr>
              <w:rFonts w:ascii="Times New Roman" w:hAnsi="Times New Roman" w:eastAsia="宋体"/>
              <w:sz w:val="24"/>
              <w:szCs w:val="24"/>
            </w:rPr>
            <w:fldChar w:fldCharType="separate"/>
          </w:r>
          <w:r>
            <w:rPr>
              <w:rFonts w:ascii="Times New Roman" w:hAnsi="Times New Roman" w:eastAsia="宋体" w:cs="宋体"/>
              <w:spacing w:val="-6"/>
              <w:sz w:val="24"/>
              <w:szCs w:val="24"/>
              <w14:textOutline w14:w="5791" w14:cap="flat" w14:cmpd="sng" w14:algn="ctr">
                <w14:solidFill>
                  <w14:srgbClr w14:val="000000"/>
                </w14:solidFill>
                <w14:prstDash w14:val="solid"/>
                <w14:miter w14:val="0"/>
              </w14:textOutline>
            </w:rPr>
            <w:t>18、提交申请</w:t>
          </w:r>
          <w:r>
            <w:rPr>
              <w:rFonts w:ascii="Times New Roman" w:hAnsi="Times New Roman" w:eastAsia="宋体"/>
              <w:sz w:val="24"/>
              <w:szCs w:val="24"/>
            </w:rPr>
            <w:tab/>
          </w:r>
          <w:r>
            <w:rPr>
              <w:rFonts w:ascii="Times New Roman" w:hAnsi="Times New Roman" w:eastAsia="宋体"/>
              <w:sz w:val="24"/>
              <w:szCs w:val="24"/>
            </w:rPr>
            <w:fldChar w:fldCharType="begin"/>
          </w:r>
          <w:r>
            <w:rPr>
              <w:rFonts w:ascii="Times New Roman" w:hAnsi="Times New Roman" w:eastAsia="宋体"/>
              <w:sz w:val="24"/>
              <w:szCs w:val="24"/>
            </w:rPr>
            <w:instrText xml:space="preserve"> PAGEREF _Toc12199 \h </w:instrText>
          </w:r>
          <w:r>
            <w:rPr>
              <w:rFonts w:ascii="Times New Roman" w:hAnsi="Times New Roman" w:eastAsia="宋体"/>
              <w:sz w:val="24"/>
              <w:szCs w:val="24"/>
            </w:rPr>
            <w:fldChar w:fldCharType="separate"/>
          </w:r>
          <w:r>
            <w:rPr>
              <w:rFonts w:ascii="Times New Roman" w:hAnsi="Times New Roman" w:eastAsia="宋体"/>
              <w:sz w:val="24"/>
              <w:szCs w:val="24"/>
            </w:rPr>
            <w:t>33</w:t>
          </w:r>
          <w:r>
            <w:rPr>
              <w:rFonts w:ascii="Times New Roman" w:hAnsi="Times New Roman" w:eastAsia="宋体"/>
              <w:sz w:val="24"/>
              <w:szCs w:val="24"/>
            </w:rPr>
            <w:fldChar w:fldCharType="end"/>
          </w:r>
          <w:r>
            <w:rPr>
              <w:rFonts w:ascii="Times New Roman" w:hAnsi="Times New Roman" w:eastAsia="宋体"/>
              <w:sz w:val="24"/>
              <w:szCs w:val="24"/>
            </w:rPr>
            <w:fldChar w:fldCharType="end"/>
          </w:r>
        </w:p>
        <w:p>
          <w:pPr>
            <w:keepNext w:val="0"/>
            <w:keepLines w:val="0"/>
            <w:pageBreakBefore w:val="0"/>
            <w:wordWrap/>
            <w:overflowPunct/>
            <w:topLinePunct w:val="0"/>
            <w:bidi w:val="0"/>
            <w:spacing w:line="360" w:lineRule="auto"/>
            <w:rPr>
              <w:rFonts w:ascii="Times New Roman" w:hAnsi="Times New Roman"/>
            </w:rPr>
            <w:sectPr>
              <w:footerReference r:id="rId3" w:type="default"/>
              <w:pgSz w:w="11907" w:h="16839"/>
              <w:pgMar w:top="1431" w:right="1765" w:bottom="1374" w:left="1785" w:header="0" w:footer="1260" w:gutter="0"/>
              <w:cols w:space="720" w:num="1"/>
            </w:sectPr>
          </w:pPr>
          <w:r>
            <w:rPr>
              <w:rFonts w:ascii="Times New Roman" w:hAnsi="Times New Roman"/>
            </w:rPr>
            <w:fldChar w:fldCharType="end"/>
          </w:r>
        </w:p>
      </w:sdtContent>
    </w:sdt>
    <w:p>
      <w:pPr>
        <w:keepNext w:val="0"/>
        <w:keepLines w:val="0"/>
        <w:pageBreakBefore w:val="0"/>
        <w:wordWrap/>
        <w:overflowPunct/>
        <w:topLinePunct w:val="0"/>
        <w:bidi w:val="0"/>
        <w:spacing w:line="360" w:lineRule="auto"/>
        <w:ind w:firstLine="34"/>
        <w:outlineLvl w:val="0"/>
        <w:rPr>
          <w:rFonts w:ascii="Times New Roman" w:hAnsi="Times New Roman" w:eastAsia="宋体" w:cs="宋体"/>
          <w:spacing w:val="-2"/>
          <w:sz w:val="28"/>
          <w:szCs w:val="28"/>
          <w14:textOutline w14:w="5791" w14:cap="flat" w14:cmpd="sng" w14:algn="ctr">
            <w14:solidFill>
              <w14:srgbClr w14:val="000000"/>
            </w14:solidFill>
            <w14:prstDash w14:val="solid"/>
            <w14:miter w14:val="0"/>
          </w14:textOutline>
        </w:rPr>
        <w:sectPr>
          <w:footerReference r:id="rId4" w:type="default"/>
          <w:pgSz w:w="11907" w:h="16839"/>
          <w:pgMar w:top="1431" w:right="1536" w:bottom="1374" w:left="1785" w:header="0" w:footer="1260" w:gutter="0"/>
          <w:pgNumType w:start="1"/>
          <w:cols w:space="720" w:num="1"/>
        </w:sectPr>
      </w:pPr>
      <w:bookmarkStart w:id="0" w:name="_Toc14443"/>
    </w:p>
    <w:p>
      <w:pPr>
        <w:keepNext w:val="0"/>
        <w:keepLines w:val="0"/>
        <w:pageBreakBefore w:val="0"/>
        <w:wordWrap/>
        <w:overflowPunct/>
        <w:topLinePunct w:val="0"/>
        <w:bidi w:val="0"/>
        <w:spacing w:line="360" w:lineRule="auto"/>
        <w:ind w:firstLine="34"/>
        <w:outlineLvl w:val="0"/>
        <w:rPr>
          <w:rFonts w:ascii="Times New Roman" w:hAnsi="Times New Roman" w:eastAsia="宋体" w:cs="宋体"/>
          <w:sz w:val="28"/>
          <w:szCs w:val="28"/>
        </w:rPr>
      </w:pPr>
      <w:r>
        <w:rPr>
          <w:rFonts w:ascii="Times New Roman" w:hAnsi="Times New Roman" w:eastAsia="宋体" w:cs="宋体"/>
          <w:spacing w:val="-2"/>
          <w:sz w:val="28"/>
          <w:szCs w:val="28"/>
          <w14:textOutline w14:w="5791" w14:cap="flat" w14:cmpd="sng" w14:algn="ctr">
            <w14:solidFill>
              <w14:srgbClr w14:val="000000"/>
            </w14:solidFill>
            <w14:prstDash w14:val="solid"/>
            <w14:miter w14:val="0"/>
          </w14:textOutline>
        </w:rPr>
        <w:t>一、系统注册</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1、打开网页。使用IE9及以上版本IE浏览器，打开全国排污许可证管理信息平台，点击“网上申报”。（网址：http://permit.mee.gov.cn）</w:t>
      </w:r>
    </w:p>
    <w:p>
      <w:pPr>
        <w:keepNext w:val="0"/>
        <w:keepLines w:val="0"/>
        <w:pageBreakBefore w:val="0"/>
        <w:wordWrap/>
        <w:overflowPunct/>
        <w:topLinePunct w:val="0"/>
        <w:bidi w:val="0"/>
        <w:spacing w:line="360" w:lineRule="auto"/>
        <w:rPr>
          <w:rFonts w:ascii="Times New Roman" w:hAnsi="Times New Roman"/>
          <w:sz w:val="24"/>
          <w:szCs w:val="24"/>
        </w:rPr>
      </w:pPr>
      <w:r>
        <w:rPr>
          <w:rFonts w:ascii="Times New Roman" w:hAnsi="Times New Roman"/>
        </w:rPr>
        <w:drawing>
          <wp:inline distT="0" distB="0" distL="114300" distR="114300">
            <wp:extent cx="5448935" cy="2604770"/>
            <wp:effectExtent l="9525" t="9525" r="27940" b="1460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0"/>
                    <a:stretch>
                      <a:fillRect/>
                    </a:stretch>
                  </pic:blipFill>
                  <pic:spPr>
                    <a:xfrm>
                      <a:off x="0" y="0"/>
                      <a:ext cx="5448935" cy="260477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2、注册账号。首次申报的排污单位，需要注册账号，点击“注册”。</w:t>
      </w:r>
    </w:p>
    <w:p>
      <w:pPr>
        <w:keepNext w:val="0"/>
        <w:keepLines w:val="0"/>
        <w:pageBreakBefore w:val="0"/>
        <w:wordWrap/>
        <w:overflowPunct/>
        <w:topLinePunct w:val="0"/>
        <w:bidi w:val="0"/>
        <w:spacing w:line="360" w:lineRule="auto"/>
        <w:rPr>
          <w:rFonts w:ascii="Times New Roman" w:hAnsi="Times New Roman"/>
          <w:sz w:val="24"/>
          <w:szCs w:val="24"/>
        </w:rPr>
      </w:pPr>
      <w:r>
        <w:rPr>
          <w:rFonts w:ascii="Times New Roman" w:hAnsi="Times New Roman"/>
        </w:rPr>
        <w:drawing>
          <wp:inline distT="0" distB="0" distL="114300" distR="114300">
            <wp:extent cx="5445760" cy="2927985"/>
            <wp:effectExtent l="9525" t="9525" r="12065" b="1524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1"/>
                    <a:stretch>
                      <a:fillRect/>
                    </a:stretch>
                  </pic:blipFill>
                  <pic:spPr>
                    <a:xfrm>
                      <a:off x="0" y="0"/>
                      <a:ext cx="5445760" cy="2927985"/>
                    </a:xfrm>
                    <a:prstGeom prst="rect">
                      <a:avLst/>
                    </a:prstGeom>
                    <a:noFill/>
                    <a:ln>
                      <a:solidFill>
                        <a:schemeClr val="tx1"/>
                      </a:solidFill>
                    </a:ln>
                  </pic:spPr>
                </pic:pic>
              </a:graphicData>
            </a:graphic>
          </wp:inline>
        </w:drawing>
      </w: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sectPr>
          <w:footerReference r:id="rId5" w:type="default"/>
          <w:pgSz w:w="11907" w:h="16839"/>
          <w:pgMar w:top="1431" w:right="1536" w:bottom="1374" w:left="1785" w:header="0" w:footer="1260" w:gutter="0"/>
          <w:pgNumType w:fmt="decimal" w:start="1"/>
          <w:cols w:space="720" w:num="1"/>
        </w:sectPr>
      </w:pPr>
    </w:p>
    <w:p>
      <w:pPr>
        <w:keepNext w:val="0"/>
        <w:keepLines w:val="0"/>
        <w:pageBreakBefore w:val="0"/>
        <w:wordWrap/>
        <w:overflowPunct/>
        <w:topLinePunct w:val="0"/>
        <w:bidi w:val="0"/>
        <w:spacing w:line="360" w:lineRule="auto"/>
        <w:jc w:val="center"/>
        <w:rPr>
          <w:rFonts w:ascii="Times New Roman" w:hAnsi="Times New Roman"/>
        </w:rPr>
      </w:pPr>
      <w:r>
        <w:rPr>
          <w:rFonts w:ascii="Times New Roman" w:hAnsi="Times New Roman"/>
        </w:rPr>
        <mc:AlternateContent>
          <mc:Choice Requires="wps">
            <w:drawing>
              <wp:anchor distT="0" distB="0" distL="114300" distR="114300" simplePos="0" relativeHeight="251664384" behindDoc="0" locked="0" layoutInCell="1" allowOverlap="1">
                <wp:simplePos x="0" y="0"/>
                <wp:positionH relativeFrom="column">
                  <wp:posOffset>2842895</wp:posOffset>
                </wp:positionH>
                <wp:positionV relativeFrom="paragraph">
                  <wp:posOffset>1692275</wp:posOffset>
                </wp:positionV>
                <wp:extent cx="679450" cy="0"/>
                <wp:effectExtent l="0" t="0" r="0" b="0"/>
                <wp:wrapNone/>
                <wp:docPr id="38" name="直接连接符 38"/>
                <wp:cNvGraphicFramePr/>
                <a:graphic xmlns:a="http://schemas.openxmlformats.org/drawingml/2006/main">
                  <a:graphicData uri="http://schemas.microsoft.com/office/word/2010/wordprocessingShape">
                    <wps:wsp>
                      <wps:cNvCnPr/>
                      <wps:spPr>
                        <a:xfrm>
                          <a:off x="3134995" y="2385695"/>
                          <a:ext cx="679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3.85pt;margin-top:133.25pt;height:0pt;width:53.5pt;z-index:251664384;mso-width-relative:page;mso-height-relative:page;" filled="f" stroked="t" coordsize="21600,21600" o:gfxdata="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tm&#10;31/ZAAAACwEAAA8AAAAAAAAAAQAgAAAAIgAAAGRycy9kb3ducmV2LnhtbFBLAQIUABQAAAAIAIdO&#10;4kB9fc0v6QEAAJIDAAAOAAAAAAAAAAEAIAAAACgBAABkcnMvZTJvRG9jLnhtbFBLBQYAAAAABgAG&#10;AFkBAACDBQAAAAA=&#10;">
                <v:fill on="f" focussize="0,0"/>
                <v:stroke color="#4A7EBB [3204]" joinstyle="round"/>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65408" behindDoc="0" locked="0" layoutInCell="1" allowOverlap="1">
                <wp:simplePos x="0" y="0"/>
                <wp:positionH relativeFrom="column">
                  <wp:posOffset>1836420</wp:posOffset>
                </wp:positionH>
                <wp:positionV relativeFrom="paragraph">
                  <wp:posOffset>1584960</wp:posOffset>
                </wp:positionV>
                <wp:extent cx="927735" cy="260350"/>
                <wp:effectExtent l="4445" t="4445" r="20320" b="20955"/>
                <wp:wrapNone/>
                <wp:docPr id="39" name="文本框 39"/>
                <wp:cNvGraphicFramePr/>
                <a:graphic xmlns:a="http://schemas.openxmlformats.org/drawingml/2006/main">
                  <a:graphicData uri="http://schemas.microsoft.com/office/word/2010/wordprocessingShape">
                    <wps:wsp>
                      <wps:cNvSpPr txBox="1"/>
                      <wps:spPr>
                        <a:xfrm>
                          <a:off x="1972945" y="2188845"/>
                          <a:ext cx="927735" cy="26035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eastAsia="宋体"/>
                                <w:b/>
                                <w:bCs/>
                                <w:color w:val="4F81BD" w:themeColor="accent1"/>
                                <w14:textFill>
                                  <w14:solidFill>
                                    <w14:schemeClr w14:val="accent1"/>
                                  </w14:solidFill>
                                </w14:textFill>
                              </w:rPr>
                            </w:pPr>
                            <w:r>
                              <w:rPr>
                                <w:rFonts w:hint="eastAsia" w:eastAsia="宋体"/>
                                <w:b/>
                                <w:bCs/>
                                <w:color w:val="4F81BD" w:themeColor="accent1"/>
                                <w14:textFill>
                                  <w14:solidFill>
                                    <w14:schemeClr w14:val="accent1"/>
                                  </w14:solidFill>
                                </w14:textFill>
                              </w:rPr>
                              <w:t>带*为必填项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6pt;margin-top:124.8pt;height:20.5pt;width:73.05pt;z-index:251665408;mso-width-relative:page;mso-height-relative:page;" fillcolor="#FFFFFF [3201]" filled="t" stroked="t" coordsize="21600,21600" o:gfxdata="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1lN6b9oAAAALAQAADwAAAAAAAAAB&#10;ACAAAAAiAAAAZHJzL2Rvd25yZXYueG1sUEsBAhQAFAAAAAgAh07iQCkitSxHAgAAdwQAAA4AAAAA&#10;AAAAAQAgAAAAKQEAAGRycy9lMm9Eb2MueG1sUEsFBgAAAAAGAAYAWQEAAOIFAAAAAA==&#10;">
                <v:fill on="t" focussize="0,0"/>
                <v:stroke weight="0.5pt" color="#1F497D [3215]" joinstyle="round"/>
                <v:imagedata o:title=""/>
                <o:lock v:ext="edit" aspectratio="f"/>
                <v:textbox>
                  <w:txbxContent>
                    <w:p>
                      <w:pPr>
                        <w:rPr>
                          <w:rFonts w:eastAsia="宋体"/>
                          <w:b/>
                          <w:bCs/>
                          <w:color w:val="4F81BD" w:themeColor="accent1"/>
                          <w14:textFill>
                            <w14:solidFill>
                              <w14:schemeClr w14:val="accent1"/>
                            </w14:solidFill>
                          </w14:textFill>
                        </w:rPr>
                      </w:pPr>
                      <w:r>
                        <w:rPr>
                          <w:rFonts w:hint="eastAsia" w:eastAsia="宋体"/>
                          <w:b/>
                          <w:bCs/>
                          <w:color w:val="4F81BD" w:themeColor="accent1"/>
                          <w14:textFill>
                            <w14:solidFill>
                              <w14:schemeClr w14:val="accent1"/>
                            </w14:solidFill>
                          </w14:textFill>
                        </w:rPr>
                        <w:t>带*为必填项</w:t>
                      </w:r>
                    </w:p>
                  </w:txbxContent>
                </v:textbox>
              </v:shape>
            </w:pict>
          </mc:Fallback>
        </mc:AlternateContent>
      </w: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3652520</wp:posOffset>
                </wp:positionH>
                <wp:positionV relativeFrom="paragraph">
                  <wp:posOffset>1574800</wp:posOffset>
                </wp:positionV>
                <wp:extent cx="139700" cy="222250"/>
                <wp:effectExtent l="9525" t="9525" r="22225" b="15875"/>
                <wp:wrapNone/>
                <wp:docPr id="36" name="矩形 36"/>
                <wp:cNvGraphicFramePr/>
                <a:graphic xmlns:a="http://schemas.openxmlformats.org/drawingml/2006/main">
                  <a:graphicData uri="http://schemas.microsoft.com/office/word/2010/wordprocessingShape">
                    <wps:wsp>
                      <wps:cNvSpPr/>
                      <wps:spPr>
                        <a:xfrm>
                          <a:off x="3890645" y="2296795"/>
                          <a:ext cx="139700" cy="222250"/>
                        </a:xfrm>
                        <a:prstGeom prst="rect">
                          <a:avLst/>
                        </a:prstGeom>
                        <a:noFill/>
                        <a:ln w="1905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7.6pt;margin-top:124pt;height:17.5pt;width:11pt;z-index:251661312;v-text-anchor:middle;mso-width-relative:page;mso-height-relative:page;" filled="f" stroked="t" coordsize="21600,21600" o:gfxdata="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w8zTNoAAAALAQAA&#10;DwAAAAAAAAABACAAAAAiAAAAZHJzL2Rvd25yZXYueG1sUEsBAhQAFAAAAAgAh07iQGr0kVZQAgAA&#10;cwQAAA4AAAAAAAAAAQAgAAAAKQEAAGRycy9lMm9Eb2MueG1sUEsFBgAAAAAGAAYAWQEAAOsFAAAA&#10;AA==&#10;">
                <v:fill on="f" focussize="0,0"/>
                <v:stroke weight="1.5pt" color="#C00000 [3204]" joinstyle="round"/>
                <v:imagedata o:title=""/>
                <o:lock v:ext="edit" aspectratio="f"/>
              </v:rect>
            </w:pict>
          </mc:Fallback>
        </mc:AlternateContent>
      </w:r>
      <w:r>
        <w:rPr>
          <w:rFonts w:ascii="Times New Roman" w:hAnsi="Times New Roman"/>
        </w:rPr>
        <w:drawing>
          <wp:inline distT="0" distB="0" distL="114300" distR="114300">
            <wp:extent cx="8057515" cy="6185535"/>
            <wp:effectExtent l="9525" t="9525" r="10160" b="1524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2"/>
                    <a:stretch>
                      <a:fillRect/>
                    </a:stretch>
                  </pic:blipFill>
                  <pic:spPr>
                    <a:xfrm>
                      <a:off x="0" y="0"/>
                      <a:ext cx="8057515" cy="6185535"/>
                    </a:xfrm>
                    <a:prstGeom prst="rect">
                      <a:avLst/>
                    </a:prstGeom>
                    <a:noFill/>
                    <a:ln>
                      <a:solidFill>
                        <a:schemeClr val="tx1"/>
                      </a:solidFill>
                    </a:ln>
                  </pic:spPr>
                </pic:pic>
              </a:graphicData>
            </a:graphic>
          </wp:inline>
        </w:drawing>
      </w:r>
      <w:r>
        <w:rPr>
          <w:rFonts w:ascii="Times New Roman" w:hAnsi="Times New Roman"/>
        </w:rPr>
        <mc:AlternateContent>
          <mc:Choice Requires="wps">
            <w:drawing>
              <wp:anchor distT="0" distB="0" distL="114300" distR="114300" simplePos="0" relativeHeight="251668480" behindDoc="0" locked="0" layoutInCell="1" allowOverlap="1">
                <wp:simplePos x="0" y="0"/>
                <wp:positionH relativeFrom="column">
                  <wp:posOffset>3556635</wp:posOffset>
                </wp:positionH>
                <wp:positionV relativeFrom="paragraph">
                  <wp:posOffset>4916170</wp:posOffset>
                </wp:positionV>
                <wp:extent cx="3079750" cy="583565"/>
                <wp:effectExtent l="9525" t="9525" r="15875" b="16510"/>
                <wp:wrapNone/>
                <wp:docPr id="44" name="矩形 44"/>
                <wp:cNvGraphicFramePr/>
                <a:graphic xmlns:a="http://schemas.openxmlformats.org/drawingml/2006/main">
                  <a:graphicData uri="http://schemas.microsoft.com/office/word/2010/wordprocessingShape">
                    <wps:wsp>
                      <wps:cNvSpPr/>
                      <wps:spPr>
                        <a:xfrm flipH="1">
                          <a:off x="0" y="0"/>
                          <a:ext cx="3079750" cy="583565"/>
                        </a:xfrm>
                        <a:prstGeom prst="rect">
                          <a:avLst/>
                        </a:prstGeom>
                        <a:noFill/>
                        <a:ln w="1905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80.05pt;margin-top:387.1pt;height:45.95pt;width:242.5pt;z-index:251668480;v-text-anchor:middle;mso-width-relative:page;mso-height-relative:page;" filled="f" stroked="t" coordsize="21600,21600" o:gfxdata="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8//e7aAAAADAEAAA8AAAAA&#10;AAAAAQAgAAAAIgAAAGRycy9kb3ducmV2LnhtbFBLAQIUABQAAAAIAIdO4kCmiDRVSwIAAHIEAAAO&#10;AAAAAAAAAAEAIAAAACkBAABkcnMvZTJvRG9jLnhtbFBLBQYAAAAABgAGAFkBAADmBQAAAAA=&#10;">
                <v:fill on="f" focussize="0,0"/>
                <v:stroke weight="1.5pt" color="#C00000 [3204]" joinstyle="round"/>
                <v:imagedata o:title=""/>
                <o:lock v:ext="edit" aspectratio="f"/>
              </v:rect>
            </w:pict>
          </mc:Fallback>
        </mc:AlternateContent>
      </w:r>
      <w:r>
        <w:rPr>
          <w:rFonts w:ascii="Times New Roman" w:hAnsi="Times New Roman"/>
        </w:rPr>
        <mc:AlternateContent>
          <mc:Choice Requires="wps">
            <w:drawing>
              <wp:anchor distT="0" distB="0" distL="114300" distR="114300" simplePos="0" relativeHeight="251666432" behindDoc="0" locked="0" layoutInCell="1" allowOverlap="1">
                <wp:simplePos x="0" y="0"/>
                <wp:positionH relativeFrom="column">
                  <wp:posOffset>2672080</wp:posOffset>
                </wp:positionH>
                <wp:positionV relativeFrom="paragraph">
                  <wp:posOffset>4622800</wp:posOffset>
                </wp:positionV>
                <wp:extent cx="711835" cy="105410"/>
                <wp:effectExtent l="635" t="4445" r="11430" b="23495"/>
                <wp:wrapNone/>
                <wp:docPr id="40" name="直接连接符 40"/>
                <wp:cNvGraphicFramePr/>
                <a:graphic xmlns:a="http://schemas.openxmlformats.org/drawingml/2006/main">
                  <a:graphicData uri="http://schemas.microsoft.com/office/word/2010/wordprocessingShape">
                    <wps:wsp>
                      <wps:cNvCnPr/>
                      <wps:spPr>
                        <a:xfrm>
                          <a:off x="0" y="0"/>
                          <a:ext cx="711835" cy="105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10.4pt;margin-top:364pt;height:8.3pt;width:56.05pt;z-index:251666432;mso-width-relative:page;mso-height-relative:page;" filled="f" stroked="t" coordsize="21600,21600" o:gfxdata="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pFqFx2wAAAAsB&#10;AAAPAAAAAAAAAAEAIAAAACIAAABkcnMvZG93bnJldi54bWxQSwECFAAUAAAACACHTuJAhYCzet8B&#10;AACLAwAADgAAAAAAAAABACAAAAAqAQAAZHJzL2Uyb0RvYy54bWxQSwUGAAAAAAYABgBZAQAAewUA&#10;AAAA&#10;">
                <v:fill on="f" focussize="0,0"/>
                <v:stroke color="#4A7EBB [3204]" joinstyle="round"/>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63360" behindDoc="0" locked="0" layoutInCell="1" allowOverlap="1">
                <wp:simplePos x="0" y="0"/>
                <wp:positionH relativeFrom="column">
                  <wp:posOffset>3474720</wp:posOffset>
                </wp:positionH>
                <wp:positionV relativeFrom="paragraph">
                  <wp:posOffset>4596130</wp:posOffset>
                </wp:positionV>
                <wp:extent cx="3079750" cy="222250"/>
                <wp:effectExtent l="9525" t="9525" r="15875" b="15875"/>
                <wp:wrapNone/>
                <wp:docPr id="37" name="矩形 37"/>
                <wp:cNvGraphicFramePr/>
                <a:graphic xmlns:a="http://schemas.openxmlformats.org/drawingml/2006/main">
                  <a:graphicData uri="http://schemas.microsoft.com/office/word/2010/wordprocessingShape">
                    <wps:wsp>
                      <wps:cNvSpPr/>
                      <wps:spPr>
                        <a:xfrm flipH="1">
                          <a:off x="0" y="0"/>
                          <a:ext cx="3079750" cy="222250"/>
                        </a:xfrm>
                        <a:prstGeom prst="rect">
                          <a:avLst/>
                        </a:prstGeom>
                        <a:noFill/>
                        <a:ln w="1905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73.6pt;margin-top:361.9pt;height:17.5pt;width:242.5pt;z-index:251663360;v-text-anchor:middle;mso-width-relative:page;mso-height-relative:page;" filled="f" stroked="t" coordsize="21600,21600" o:gfxdata="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fUNP9kAAAAMAQAADwAAAAAAAAAB&#10;ACAAAAAiAAAAZHJzL2Rvd25yZXYueG1sUEsBAhQAFAAAAAgAh07iQPdeOY9IAgAAcgQAAA4AAAAA&#10;AAAAAQAgAAAAKAEAAGRycy9lMm9Eb2MueG1sUEsFBgAAAAAGAAYAWQEAAOIFAAAAAA==&#10;">
                <v:fill on="f" focussize="0,0"/>
                <v:stroke weight="1.5pt" color="#C00000 [3204]" joinstyle="round"/>
                <v:imagedata o:title=""/>
                <o:lock v:ext="edit" aspectratio="f"/>
              </v:rect>
            </w:pict>
          </mc:Fallback>
        </mc:AlternateContent>
      </w:r>
      <w:r>
        <w:rPr>
          <w:rFonts w:ascii="Times New Roman" w:hAnsi="Times New Roman"/>
        </w:rPr>
        <mc:AlternateContent>
          <mc:Choice Requires="wps">
            <w:drawing>
              <wp:anchor distT="0" distB="0" distL="114300" distR="114300" simplePos="0" relativeHeight="251667456" behindDoc="0" locked="0" layoutInCell="1" allowOverlap="1">
                <wp:simplePos x="0" y="0"/>
                <wp:positionH relativeFrom="column">
                  <wp:posOffset>1350645</wp:posOffset>
                </wp:positionH>
                <wp:positionV relativeFrom="paragraph">
                  <wp:posOffset>4429760</wp:posOffset>
                </wp:positionV>
                <wp:extent cx="1264285" cy="260350"/>
                <wp:effectExtent l="4445" t="4445" r="7620" b="20955"/>
                <wp:wrapNone/>
                <wp:docPr id="41" name="文本框 41"/>
                <wp:cNvGraphicFramePr/>
                <a:graphic xmlns:a="http://schemas.openxmlformats.org/drawingml/2006/main">
                  <a:graphicData uri="http://schemas.microsoft.com/office/word/2010/wordprocessingShape">
                    <wps:wsp>
                      <wps:cNvSpPr txBox="1"/>
                      <wps:spPr>
                        <a:xfrm>
                          <a:off x="0" y="0"/>
                          <a:ext cx="1264285" cy="26035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eastAsia="宋体"/>
                                <w:b/>
                                <w:bCs/>
                                <w:color w:val="4F81BD" w:themeColor="accent1"/>
                                <w14:textFill>
                                  <w14:solidFill>
                                    <w14:schemeClr w14:val="accent1"/>
                                  </w14:solidFill>
                                </w14:textFill>
                              </w:rPr>
                            </w:pPr>
                            <w:r>
                              <w:rPr>
                                <w:rFonts w:hint="eastAsia" w:eastAsia="宋体"/>
                                <w:b/>
                                <w:bCs/>
                                <w:color w:val="4F81BD" w:themeColor="accent1"/>
                                <w14:textFill>
                                  <w14:solidFill>
                                    <w14:schemeClr w14:val="accent1"/>
                                  </w14:solidFill>
                                </w14:textFill>
                              </w:rPr>
                              <w:t>流域选择长江流域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35pt;margin-top:348.8pt;height:20.5pt;width:99.55pt;z-index:251667456;mso-width-relative:page;mso-height-relative:page;" fillcolor="#FFFFFF [3201]" filled="t" stroked="t" coordsize="21600,21600" o:gfxdata="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fJhwTZAAAACwEAAA8AAAAAAAAAAQAgAAAAIgAAAGRy&#10;cy9kb3ducmV2LnhtbFBLAQIUABQAAAAIAIdO4kBA3CyuPQIAAGwEAAAOAAAAAAAAAAEAIAAAACgB&#10;AABkcnMvZTJvRG9jLnhtbFBLBQYAAAAABgAGAFkBAADXBQAAAAA=&#10;">
                <v:fill on="t" focussize="0,0"/>
                <v:stroke weight="0.5pt" color="#1F497D [3215]" joinstyle="round"/>
                <v:imagedata o:title=""/>
                <o:lock v:ext="edit" aspectratio="f"/>
                <v:textbox>
                  <w:txbxContent>
                    <w:p>
                      <w:pPr>
                        <w:rPr>
                          <w:rFonts w:eastAsia="宋体"/>
                          <w:b/>
                          <w:bCs/>
                          <w:color w:val="4F81BD" w:themeColor="accent1"/>
                          <w14:textFill>
                            <w14:solidFill>
                              <w14:schemeClr w14:val="accent1"/>
                            </w14:solidFill>
                          </w14:textFill>
                        </w:rPr>
                      </w:pPr>
                      <w:r>
                        <w:rPr>
                          <w:rFonts w:hint="eastAsia" w:eastAsia="宋体"/>
                          <w:b/>
                          <w:bCs/>
                          <w:color w:val="4F81BD" w:themeColor="accent1"/>
                          <w14:textFill>
                            <w14:solidFill>
                              <w14:schemeClr w14:val="accent1"/>
                            </w14:solidFill>
                          </w14:textFill>
                        </w:rPr>
                        <w:t>流域选择长江流域</w:t>
                      </w:r>
                    </w:p>
                  </w:txbxContent>
                </v:textbox>
              </v:shape>
            </w:pict>
          </mc:Fallback>
        </mc:AlternateContent>
      </w:r>
      <w:r>
        <w:rPr>
          <w:rFonts w:ascii="Times New Roman" w:hAnsi="Times New Roman"/>
        </w:rPr>
        <mc:AlternateContent>
          <mc:Choice Requires="wps">
            <w:drawing>
              <wp:anchor distT="0" distB="0" distL="114300" distR="114300" simplePos="0" relativeHeight="251669504" behindDoc="0" locked="0" layoutInCell="1" allowOverlap="1">
                <wp:simplePos x="0" y="0"/>
                <wp:positionH relativeFrom="column">
                  <wp:posOffset>1017905</wp:posOffset>
                </wp:positionH>
                <wp:positionV relativeFrom="paragraph">
                  <wp:posOffset>4946650</wp:posOffset>
                </wp:positionV>
                <wp:extent cx="1687195" cy="944880"/>
                <wp:effectExtent l="4445" t="4445" r="22860" b="22225"/>
                <wp:wrapNone/>
                <wp:docPr id="45" name="文本框 45"/>
                <wp:cNvGraphicFramePr/>
                <a:graphic xmlns:a="http://schemas.openxmlformats.org/drawingml/2006/main">
                  <a:graphicData uri="http://schemas.microsoft.com/office/word/2010/wordprocessingShape">
                    <wps:wsp>
                      <wps:cNvSpPr txBox="1"/>
                      <wps:spPr>
                        <a:xfrm>
                          <a:off x="0" y="0"/>
                          <a:ext cx="1687195" cy="94488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eastAsia="宋体"/>
                                <w:b/>
                                <w:bCs/>
                                <w:color w:val="4F81BD" w:themeColor="accent1"/>
                                <w14:textFill>
                                  <w14:solidFill>
                                    <w14:schemeClr w14:val="accent1"/>
                                  </w14:solidFill>
                                </w14:textFill>
                              </w:rPr>
                            </w:pPr>
                            <w:r>
                              <w:rPr>
                                <w:rFonts w:hint="eastAsia" w:eastAsia="宋体"/>
                                <w:b/>
                                <w:bCs/>
                                <w:color w:val="4F81BD" w:themeColor="accent1"/>
                                <w14:textFill>
                                  <w14:solidFill>
                                    <w14:schemeClr w14:val="accent1"/>
                                  </w14:solidFill>
                                </w14:textFill>
                              </w:rPr>
                              <w:t>行业类别：综合</w:t>
                            </w:r>
                            <w:r>
                              <w:rPr>
                                <w:rFonts w:ascii="Times New Roman" w:hAnsi="Times New Roman" w:eastAsia="宋体" w:cs="Times New Roman"/>
                                <w:b/>
                                <w:bCs/>
                                <w:color w:val="4F81BD" w:themeColor="accent1"/>
                                <w14:textFill>
                                  <w14:solidFill>
                                    <w14:schemeClr w14:val="accent1"/>
                                  </w14:solidFill>
                                </w14:textFill>
                              </w:rPr>
                              <w:t>2017</w:t>
                            </w:r>
                            <w:r>
                              <w:rPr>
                                <w:rFonts w:hint="eastAsia" w:eastAsia="宋体"/>
                                <w:b/>
                                <w:bCs/>
                                <w:color w:val="4F81BD" w:themeColor="accent1"/>
                                <w14:textFill>
                                  <w14:solidFill>
                                    <w14:schemeClr w14:val="accent1"/>
                                  </w14:solidFill>
                                </w14:textFill>
                              </w:rPr>
                              <w:t>版国民经济行业分类及企业产品、工艺等判断。涉及多个行业的，在“其他行业类别”处添加。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15pt;margin-top:389.5pt;height:74.4pt;width:132.85pt;z-index:251669504;mso-width-relative:page;mso-height-relative:page;" fillcolor="#FFFFFF [3201]" filled="t" stroked="t" coordsize="21600,21600" o:gfxdata="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dl513ZAAAACwEAAA8AAAAAAAAAAQAgAAAAIgAA&#10;AGRycy9kb3ducmV2LnhtbFBLAQIUABQAAAAIAIdO4kAS0S5eQAIAAGwEAAAOAAAAAAAAAAEAIAAA&#10;ACgBAABkcnMvZTJvRG9jLnhtbFBLBQYAAAAABgAGAFkBAADaBQAAAAA=&#10;">
                <v:fill on="t" focussize="0,0"/>
                <v:stroke weight="0.5pt" color="#1F497D [3215]" joinstyle="round"/>
                <v:imagedata o:title=""/>
                <o:lock v:ext="edit" aspectratio="f"/>
                <v:textbox>
                  <w:txbxContent>
                    <w:p>
                      <w:pPr>
                        <w:rPr>
                          <w:rFonts w:eastAsia="宋体"/>
                          <w:b/>
                          <w:bCs/>
                          <w:color w:val="4F81BD" w:themeColor="accent1"/>
                          <w14:textFill>
                            <w14:solidFill>
                              <w14:schemeClr w14:val="accent1"/>
                            </w14:solidFill>
                          </w14:textFill>
                        </w:rPr>
                      </w:pPr>
                      <w:r>
                        <w:rPr>
                          <w:rFonts w:hint="eastAsia" w:eastAsia="宋体"/>
                          <w:b/>
                          <w:bCs/>
                          <w:color w:val="4F81BD" w:themeColor="accent1"/>
                          <w14:textFill>
                            <w14:solidFill>
                              <w14:schemeClr w14:val="accent1"/>
                            </w14:solidFill>
                          </w14:textFill>
                        </w:rPr>
                        <w:t>行业类别：综合</w:t>
                      </w:r>
                      <w:r>
                        <w:rPr>
                          <w:rFonts w:ascii="Times New Roman" w:hAnsi="Times New Roman" w:eastAsia="宋体" w:cs="Times New Roman"/>
                          <w:b/>
                          <w:bCs/>
                          <w:color w:val="4F81BD" w:themeColor="accent1"/>
                          <w14:textFill>
                            <w14:solidFill>
                              <w14:schemeClr w14:val="accent1"/>
                            </w14:solidFill>
                          </w14:textFill>
                        </w:rPr>
                        <w:t>2017</w:t>
                      </w:r>
                      <w:r>
                        <w:rPr>
                          <w:rFonts w:hint="eastAsia" w:eastAsia="宋体"/>
                          <w:b/>
                          <w:bCs/>
                          <w:color w:val="4F81BD" w:themeColor="accent1"/>
                          <w14:textFill>
                            <w14:solidFill>
                              <w14:schemeClr w14:val="accent1"/>
                            </w14:solidFill>
                          </w14:textFill>
                        </w:rPr>
                        <w:t>版国民经济行业分类及企业产品、工艺等判断。涉及多个行业的，在“其他行业类别”处添加。</w:t>
                      </w:r>
                    </w:p>
                  </w:txbxContent>
                </v:textbox>
              </v:shape>
            </w:pict>
          </mc:Fallback>
        </mc:AlternateContent>
      </w:r>
      <w:r>
        <w:rPr>
          <w:rFonts w:ascii="Times New Roman" w:hAnsi="Times New Roman"/>
        </w:rPr>
        <mc:AlternateContent>
          <mc:Choice Requires="wps">
            <w:drawing>
              <wp:anchor distT="0" distB="0" distL="114300" distR="114300" simplePos="0" relativeHeight="251670528" behindDoc="0" locked="0" layoutInCell="1" allowOverlap="1">
                <wp:simplePos x="0" y="0"/>
                <wp:positionH relativeFrom="column">
                  <wp:posOffset>2799080</wp:posOffset>
                </wp:positionH>
                <wp:positionV relativeFrom="paragraph">
                  <wp:posOffset>5306695</wp:posOffset>
                </wp:positionV>
                <wp:extent cx="687070" cy="189230"/>
                <wp:effectExtent l="1270" t="4445" r="16510" b="15875"/>
                <wp:wrapNone/>
                <wp:docPr id="46" name="直接连接符 46"/>
                <wp:cNvGraphicFramePr/>
                <a:graphic xmlns:a="http://schemas.openxmlformats.org/drawingml/2006/main">
                  <a:graphicData uri="http://schemas.microsoft.com/office/word/2010/wordprocessingShape">
                    <wps:wsp>
                      <wps:cNvCnPr/>
                      <wps:spPr>
                        <a:xfrm flipV="1">
                          <a:off x="0" y="0"/>
                          <a:ext cx="687070" cy="1892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0.4pt;margin-top:417.85pt;height:14.9pt;width:54.1pt;z-index:251670528;mso-width-relative:page;mso-height-relative:page;" filled="f" stroked="t" coordsize="21600,21600" o:gfxdata="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Sd&#10;g9TaAAAACwEAAA8AAAAAAAAAAQAgAAAAIgAAAGRycy9kb3ducmV2LnhtbFBLAQIUABQAAAAIAIdO&#10;4kDokB6m6AEAAJUDAAAOAAAAAAAAAAEAIAAAACkBAABkcnMvZTJvRG9jLnhtbFBLBQYAAAAABgAG&#10;AFkBAACDBQAAAAA=&#10;">
                <v:fill on="f" focussize="0,0"/>
                <v:stroke color="#4A7EBB [3204]" joinstyle="round"/>
                <v:imagedata o:title=""/>
                <o:lock v:ext="edit" aspectratio="f"/>
              </v:line>
            </w:pict>
          </mc:Fallback>
        </mc:AlternateContent>
      </w:r>
    </w:p>
    <w:p>
      <w:pPr>
        <w:keepNext w:val="0"/>
        <w:keepLines w:val="0"/>
        <w:pageBreakBefore w:val="0"/>
        <w:wordWrap/>
        <w:overflowPunct/>
        <w:topLinePunct w:val="0"/>
        <w:bidi w:val="0"/>
        <w:spacing w:line="360" w:lineRule="auto"/>
        <w:jc w:val="center"/>
        <w:rPr>
          <w:rFonts w:ascii="Times New Roman" w:hAnsi="Times New Roman"/>
        </w:rPr>
      </w:pPr>
      <w:r>
        <w:rPr>
          <w:rFonts w:ascii="Times New Roman" w:hAnsi="Times New Roman"/>
        </w:rPr>
        <mc:AlternateContent>
          <mc:Choice Requires="wps">
            <w:drawing>
              <wp:anchor distT="0" distB="0" distL="114300" distR="114300" simplePos="0" relativeHeight="251675648" behindDoc="0" locked="0" layoutInCell="1" allowOverlap="1">
                <wp:simplePos x="0" y="0"/>
                <wp:positionH relativeFrom="column">
                  <wp:posOffset>1230630</wp:posOffset>
                </wp:positionH>
                <wp:positionV relativeFrom="paragraph">
                  <wp:posOffset>4375785</wp:posOffset>
                </wp:positionV>
                <wp:extent cx="1132205" cy="441960"/>
                <wp:effectExtent l="5080" t="4445" r="5715" b="10795"/>
                <wp:wrapNone/>
                <wp:docPr id="51" name="文本框 51"/>
                <wp:cNvGraphicFramePr/>
                <a:graphic xmlns:a="http://schemas.openxmlformats.org/drawingml/2006/main">
                  <a:graphicData uri="http://schemas.microsoft.com/office/word/2010/wordprocessingShape">
                    <wps:wsp>
                      <wps:cNvSpPr txBox="1"/>
                      <wps:spPr>
                        <a:xfrm>
                          <a:off x="0" y="0"/>
                          <a:ext cx="1132205" cy="44196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b/>
                                <w:bCs/>
                                <w:color w:val="4F81BD" w:themeColor="accent1"/>
                                <w14:textFill>
                                  <w14:solidFill>
                                    <w14:schemeClr w14:val="accent1"/>
                                  </w14:solidFill>
                                </w14:textFill>
                              </w:rPr>
                            </w:pPr>
                            <w:r>
                              <w:rPr>
                                <w:rFonts w:hint="eastAsia" w:ascii="Times New Roman" w:hAnsi="Times New Roman" w:eastAsia="宋体"/>
                                <w:b/>
                                <w:bCs/>
                                <w:color w:val="4F81BD" w:themeColor="accent1"/>
                                <w14:textFill>
                                  <w14:solidFill>
                                    <w14:schemeClr w14:val="accent1"/>
                                  </w14:solidFill>
                                </w14:textFill>
                              </w:rPr>
                              <w:t>使用IE9或以上IE浏览器上传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9pt;margin-top:344.55pt;height:34.8pt;width:89.15pt;z-index:251675648;mso-width-relative:page;mso-height-relative:page;" fillcolor="#FFFFFF [3201]" filled="t" stroked="t" coordsize="21600,21600" o:gfxdata="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7cgiC2gAAAAsBAAAPAAAAAAAAAAEAIAAAACIA&#10;AABkcnMvZG93bnJldi54bWxQSwECFAAUAAAACACHTuJAAwdjikACAABsBAAADgAAAAAAAAABACAA&#10;AAApAQAAZHJzL2Uyb0RvYy54bWxQSwUGAAAAAAYABgBZAQAA2wUAAAAA&#10;">
                <v:fill on="t" focussize="0,0"/>
                <v:stroke weight="0.5pt" color="#1F497D [3215]" joinstyle="round"/>
                <v:imagedata o:title=""/>
                <o:lock v:ext="edit" aspectratio="f"/>
                <v:textbox>
                  <w:txbxContent>
                    <w:p>
                      <w:pPr>
                        <w:rPr>
                          <w:rFonts w:ascii="Times New Roman" w:hAnsi="Times New Roman" w:eastAsia="宋体"/>
                          <w:b/>
                          <w:bCs/>
                          <w:color w:val="4F81BD" w:themeColor="accent1"/>
                          <w14:textFill>
                            <w14:solidFill>
                              <w14:schemeClr w14:val="accent1"/>
                            </w14:solidFill>
                          </w14:textFill>
                        </w:rPr>
                      </w:pPr>
                      <w:r>
                        <w:rPr>
                          <w:rFonts w:hint="eastAsia" w:ascii="Times New Roman" w:hAnsi="Times New Roman" w:eastAsia="宋体"/>
                          <w:b/>
                          <w:bCs/>
                          <w:color w:val="4F81BD" w:themeColor="accent1"/>
                          <w14:textFill>
                            <w14:solidFill>
                              <w14:schemeClr w14:val="accent1"/>
                            </w14:solidFill>
                          </w14:textFill>
                        </w:rPr>
                        <w:t>使用IE9或以上IE浏览器上传</w:t>
                      </w:r>
                    </w:p>
                  </w:txbxContent>
                </v:textbox>
              </v:shape>
            </w:pict>
          </mc:Fallback>
        </mc:AlternateContent>
      </w:r>
      <w:r>
        <w:rPr>
          <w:rFonts w:ascii="Times New Roman" w:hAnsi="Times New Roman"/>
        </w:rPr>
        <w:drawing>
          <wp:inline distT="0" distB="0" distL="114300" distR="114300">
            <wp:extent cx="7617460" cy="6288405"/>
            <wp:effectExtent l="9525" t="9525" r="12065" b="2667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23"/>
                    <a:stretch>
                      <a:fillRect/>
                    </a:stretch>
                  </pic:blipFill>
                  <pic:spPr>
                    <a:xfrm>
                      <a:off x="0" y="0"/>
                      <a:ext cx="7617460" cy="6288405"/>
                    </a:xfrm>
                    <a:prstGeom prst="rect">
                      <a:avLst/>
                    </a:prstGeom>
                    <a:noFill/>
                    <a:ln>
                      <a:solidFill>
                        <a:schemeClr val="tx1"/>
                      </a:solidFill>
                    </a:ln>
                  </pic:spPr>
                </pic:pic>
              </a:graphicData>
            </a:graphic>
          </wp:inline>
        </w:drawing>
      </w:r>
      <w:r>
        <w:rPr>
          <w:rFonts w:ascii="Times New Roman" w:hAnsi="Times New Roman"/>
        </w:rPr>
        <mc:AlternateContent>
          <mc:Choice Requires="wps">
            <w:drawing>
              <wp:anchor distT="0" distB="0" distL="114300" distR="114300" simplePos="0" relativeHeight="251676672" behindDoc="0" locked="0" layoutInCell="1" allowOverlap="1">
                <wp:simplePos x="0" y="0"/>
                <wp:positionH relativeFrom="column">
                  <wp:posOffset>2402205</wp:posOffset>
                </wp:positionH>
                <wp:positionV relativeFrom="paragraph">
                  <wp:posOffset>4584065</wp:posOffset>
                </wp:positionV>
                <wp:extent cx="355600" cy="3175"/>
                <wp:effectExtent l="0" t="0" r="0" b="0"/>
                <wp:wrapNone/>
                <wp:docPr id="52" name="直接连接符 52"/>
                <wp:cNvGraphicFramePr/>
                <a:graphic xmlns:a="http://schemas.openxmlformats.org/drawingml/2006/main">
                  <a:graphicData uri="http://schemas.microsoft.com/office/word/2010/wordprocessingShape">
                    <wps:wsp>
                      <wps:cNvCnPr/>
                      <wps:spPr>
                        <a:xfrm>
                          <a:off x="0" y="0"/>
                          <a:ext cx="355600"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9.15pt;margin-top:360.95pt;height:0.25pt;width:28pt;z-index:251676672;mso-width-relative:page;mso-height-relative:page;" filled="f" stroked="t" coordsize="21600,21600" o:gfxdata="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qo0ZNoAAAALAQAA&#10;DwAAAAAAAAABACAAAAAiAAAAZHJzL2Rvd25yZXYueG1sUEsBAhQAFAAAAAgAh07iQDbL9+LeAQAA&#10;iQMAAA4AAAAAAAAAAQAgAAAAKQEAAGRycy9lMm9Eb2MueG1sUEsFBgAAAAAGAAYAWQEAAHkFAAAA&#10;AA==&#10;">
                <v:fill on="f" focussize="0,0"/>
                <v:stroke color="#4A7EBB [3204]" joinstyle="round"/>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74624" behindDoc="0" locked="0" layoutInCell="1" allowOverlap="1">
                <wp:simplePos x="0" y="0"/>
                <wp:positionH relativeFrom="column">
                  <wp:posOffset>2811145</wp:posOffset>
                </wp:positionH>
                <wp:positionV relativeFrom="paragraph">
                  <wp:posOffset>4388485</wp:posOffset>
                </wp:positionV>
                <wp:extent cx="4205605" cy="433705"/>
                <wp:effectExtent l="9525" t="9525" r="13970" b="13970"/>
                <wp:wrapNone/>
                <wp:docPr id="50" name="矩形 50"/>
                <wp:cNvGraphicFramePr/>
                <a:graphic xmlns:a="http://schemas.openxmlformats.org/drawingml/2006/main">
                  <a:graphicData uri="http://schemas.microsoft.com/office/word/2010/wordprocessingShape">
                    <wps:wsp>
                      <wps:cNvSpPr/>
                      <wps:spPr>
                        <a:xfrm flipH="1">
                          <a:off x="0" y="0"/>
                          <a:ext cx="4205605" cy="433705"/>
                        </a:xfrm>
                        <a:prstGeom prst="rect">
                          <a:avLst/>
                        </a:prstGeom>
                        <a:noFill/>
                        <a:ln w="1905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21.35pt;margin-top:345.55pt;height:34.15pt;width:331.15pt;z-index:251674624;v-text-anchor:middle;mso-width-relative:page;mso-height-relative:page;" filled="f" stroked="t" coordsize="21600,21600" o:gfxdata="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zdgRtoAAAAMAQAADwAAAAAA&#10;AAABACAAAAAiAAAAZHJzL2Rvd25yZXYueG1sUEsBAhQAFAAAAAgAh07iQAY34MJKAgAAcgQAAA4A&#10;AAAAAAAAAQAgAAAAKQEAAGRycy9lMm9Eb2MueG1sUEsFBgAAAAAGAAYAWQEAAOUFAAAAAA==&#10;">
                <v:fill on="f" focussize="0,0"/>
                <v:stroke weight="1.5pt" color="#C00000 [3204]" joinstyle="round"/>
                <v:imagedata o:title=""/>
                <o:lock v:ext="edit" aspectratio="f"/>
              </v:rect>
            </w:pict>
          </mc:Fallback>
        </mc:AlternateContent>
      </w:r>
      <w:r>
        <w:rPr>
          <w:rFonts w:ascii="Times New Roman" w:hAnsi="Times New Roman"/>
        </w:rPr>
        <mc:AlternateContent>
          <mc:Choice Requires="wps">
            <w:drawing>
              <wp:anchor distT="0" distB="0" distL="114300" distR="114300" simplePos="0" relativeHeight="251673600" behindDoc="0" locked="0" layoutInCell="1" allowOverlap="1">
                <wp:simplePos x="0" y="0"/>
                <wp:positionH relativeFrom="column">
                  <wp:posOffset>2543810</wp:posOffset>
                </wp:positionH>
                <wp:positionV relativeFrom="paragraph">
                  <wp:posOffset>1868170</wp:posOffset>
                </wp:positionV>
                <wp:extent cx="571500" cy="1905"/>
                <wp:effectExtent l="0" t="0" r="0" b="0"/>
                <wp:wrapNone/>
                <wp:docPr id="49" name="直接连接符 49"/>
                <wp:cNvGraphicFramePr/>
                <a:graphic xmlns:a="http://schemas.openxmlformats.org/drawingml/2006/main">
                  <a:graphicData uri="http://schemas.microsoft.com/office/word/2010/wordprocessingShape">
                    <wps:wsp>
                      <wps:cNvCnPr/>
                      <wps:spPr>
                        <a:xfrm>
                          <a:off x="0" y="0"/>
                          <a:ext cx="571500" cy="1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0.3pt;margin-top:147.1pt;height:0.15pt;width:45pt;z-index:251673600;mso-width-relative:page;mso-height-relative:page;" filled="f" stroked="t" coordsize="21600,21600" o:gfxdata="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5Oa29kAAAALAQAADwAA&#10;AAAAAAABACAAAAAiAAAAZHJzL2Rvd25yZXYueG1sUEsBAhQAFAAAAAgAh07iQNkhdX7cAQAAiQMA&#10;AA4AAAAAAAAAAQAgAAAAKAEAAGRycy9lMm9Eb2MueG1sUEsFBgAAAAAGAAYAWQEAAHYFAAAAAA==&#10;">
                <v:fill on="f" focussize="0,0"/>
                <v:stroke color="#4A7EBB [3204]" joinstyle="round"/>
                <v:imagedata o:title=""/>
                <o:lock v:ext="edit" aspectratio="f"/>
              </v:line>
            </w:pict>
          </mc:Fallback>
        </mc:AlternateContent>
      </w:r>
      <w:r>
        <w:rPr>
          <w:rFonts w:ascii="Times New Roman" w:hAnsi="Times New Roman"/>
        </w:rPr>
        <mc:AlternateContent>
          <mc:Choice Requires="wps">
            <w:drawing>
              <wp:anchor distT="0" distB="0" distL="114300" distR="114300" simplePos="0" relativeHeight="251672576" behindDoc="0" locked="0" layoutInCell="1" allowOverlap="1">
                <wp:simplePos x="0" y="0"/>
                <wp:positionH relativeFrom="column">
                  <wp:posOffset>1227455</wp:posOffset>
                </wp:positionH>
                <wp:positionV relativeFrom="paragraph">
                  <wp:posOffset>1489075</wp:posOffset>
                </wp:positionV>
                <wp:extent cx="1282065" cy="611505"/>
                <wp:effectExtent l="4445" t="4445" r="8890" b="12700"/>
                <wp:wrapNone/>
                <wp:docPr id="48" name="文本框 48"/>
                <wp:cNvGraphicFramePr/>
                <a:graphic xmlns:a="http://schemas.openxmlformats.org/drawingml/2006/main">
                  <a:graphicData uri="http://schemas.microsoft.com/office/word/2010/wordprocessingShape">
                    <wps:wsp>
                      <wps:cNvSpPr txBox="1"/>
                      <wps:spPr>
                        <a:xfrm>
                          <a:off x="0" y="0"/>
                          <a:ext cx="1282065" cy="611505"/>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eastAsia="宋体"/>
                                <w:b/>
                                <w:bCs/>
                                <w:color w:val="4F81BD" w:themeColor="accent1"/>
                                <w14:textFill>
                                  <w14:solidFill>
                                    <w14:schemeClr w14:val="accent1"/>
                                  </w14:solidFill>
                                </w14:textFill>
                              </w:rPr>
                            </w:pPr>
                            <w:r>
                              <w:rPr>
                                <w:rFonts w:hint="eastAsia" w:eastAsia="宋体"/>
                                <w:b/>
                                <w:bCs/>
                                <w:color w:val="4F81BD" w:themeColor="accent1"/>
                                <w14:textFill>
                                  <w14:solidFill>
                                    <w14:schemeClr w14:val="accent1"/>
                                  </w14:solidFill>
                                </w14:textFill>
                              </w:rPr>
                              <w:t>注意保存好账号和密码，后续监管都要使用。</w:t>
                            </w:r>
                          </w:p>
                          <w:p>
                            <w:pPr>
                              <w:rPr>
                                <w:rFonts w:eastAsia="宋体"/>
                                <w:b/>
                                <w:bCs/>
                                <w:color w:val="4F81BD" w:themeColor="accent1"/>
                                <w14:textFill>
                                  <w14:solidFill>
                                    <w14:schemeClr w14:val="accent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65pt;margin-top:117.25pt;height:48.15pt;width:100.95pt;z-index:251672576;mso-width-relative:page;mso-height-relative:page;" fillcolor="#FFFFFF [3201]" filled="t" stroked="t" coordsize="21600,21600" o:gfxdata="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omY2raAAAACwEAAA8AAAAAAAAAAQAgAAAAIgAA&#10;AGRycy9kb3ducmV2LnhtbFBLAQIUABQAAAAIAIdO4kDfA2x8PwIAAGwEAAAOAAAAAAAAAAEAIAAA&#10;ACkBAABkcnMvZTJvRG9jLnhtbFBLBQYAAAAABgAGAFkBAADaBQAAAAA=&#10;">
                <v:fill on="t" focussize="0,0"/>
                <v:stroke weight="0.5pt" color="#1F497D [3215]" joinstyle="round"/>
                <v:imagedata o:title=""/>
                <o:lock v:ext="edit" aspectratio="f"/>
                <v:textbox>
                  <w:txbxContent>
                    <w:p>
                      <w:pPr>
                        <w:rPr>
                          <w:rFonts w:eastAsia="宋体"/>
                          <w:b/>
                          <w:bCs/>
                          <w:color w:val="4F81BD" w:themeColor="accent1"/>
                          <w14:textFill>
                            <w14:solidFill>
                              <w14:schemeClr w14:val="accent1"/>
                            </w14:solidFill>
                          </w14:textFill>
                        </w:rPr>
                      </w:pPr>
                      <w:r>
                        <w:rPr>
                          <w:rFonts w:hint="eastAsia" w:eastAsia="宋体"/>
                          <w:b/>
                          <w:bCs/>
                          <w:color w:val="4F81BD" w:themeColor="accent1"/>
                          <w14:textFill>
                            <w14:solidFill>
                              <w14:schemeClr w14:val="accent1"/>
                            </w14:solidFill>
                          </w14:textFill>
                        </w:rPr>
                        <w:t>注意保存好账号和密码，后续监管都要使用。</w:t>
                      </w:r>
                    </w:p>
                    <w:p>
                      <w:pPr>
                        <w:rPr>
                          <w:rFonts w:eastAsia="宋体"/>
                          <w:b/>
                          <w:bCs/>
                          <w:color w:val="4F81BD" w:themeColor="accent1"/>
                          <w14:textFill>
                            <w14:solidFill>
                              <w14:schemeClr w14:val="accent1"/>
                            </w14:solidFill>
                          </w14:textFill>
                        </w:rPr>
                      </w:pPr>
                    </w:p>
                  </w:txbxContent>
                </v:textbox>
              </v:shape>
            </w:pict>
          </mc:Fallback>
        </mc:AlternateContent>
      </w:r>
      <w:r>
        <w:rPr>
          <w:rFonts w:ascii="Times New Roman" w:hAnsi="Times New Roman"/>
        </w:rPr>
        <mc:AlternateContent>
          <mc:Choice Requires="wps">
            <w:drawing>
              <wp:anchor distT="0" distB="0" distL="114300" distR="114300" simplePos="0" relativeHeight="251671552" behindDoc="0" locked="0" layoutInCell="1" allowOverlap="1">
                <wp:simplePos x="0" y="0"/>
                <wp:positionH relativeFrom="column">
                  <wp:posOffset>3134995</wp:posOffset>
                </wp:positionH>
                <wp:positionV relativeFrom="paragraph">
                  <wp:posOffset>1263650</wp:posOffset>
                </wp:positionV>
                <wp:extent cx="4022725" cy="1283970"/>
                <wp:effectExtent l="9525" t="9525" r="25400" b="20955"/>
                <wp:wrapNone/>
                <wp:docPr id="47" name="矩形 47"/>
                <wp:cNvGraphicFramePr/>
                <a:graphic xmlns:a="http://schemas.openxmlformats.org/drawingml/2006/main">
                  <a:graphicData uri="http://schemas.microsoft.com/office/word/2010/wordprocessingShape">
                    <wps:wsp>
                      <wps:cNvSpPr/>
                      <wps:spPr>
                        <a:xfrm flipH="1">
                          <a:off x="0" y="0"/>
                          <a:ext cx="4022725" cy="1283970"/>
                        </a:xfrm>
                        <a:prstGeom prst="rect">
                          <a:avLst/>
                        </a:prstGeom>
                        <a:noFill/>
                        <a:ln w="19050" cmpd="sng">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46.85pt;margin-top:99.5pt;height:101.1pt;width:316.75pt;z-index:251671552;v-text-anchor:middle;mso-width-relative:page;mso-height-relative:page;" filled="f" stroked="t" coordsize="21600,21600" o:gfxdata="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gXCbdkAAAAMAQAADwAA&#10;AAAAAAABACAAAAAiAAAAZHJzL2Rvd25yZXYueG1sUEsBAhQAFAAAAAgAh07iQO/EgH5OAgAAcwQA&#10;AA4AAAAAAAAAAQAgAAAAKAEAAGRycy9lMm9Eb2MueG1sUEsFBgAAAAAGAAYAWQEAAOgFAAAAAA==&#10;">
                <v:fill on="f" focussize="0,0"/>
                <v:stroke weight="1.5pt" color="#C00000 [3204]" joinstyle="round"/>
                <v:imagedata o:title=""/>
                <o:lock v:ext="edit" aspectratio="f"/>
              </v:rect>
            </w:pict>
          </mc:Fallback>
        </mc:AlternateContent>
      </w:r>
    </w:p>
    <w:p>
      <w:pPr>
        <w:keepNext w:val="0"/>
        <w:keepLines w:val="0"/>
        <w:pageBreakBefore w:val="0"/>
        <w:numPr>
          <w:ilvl w:val="0"/>
          <w:numId w:val="1"/>
        </w:numPr>
        <w:wordWrap/>
        <w:overflowPunct/>
        <w:topLinePunct w:val="0"/>
        <w:bidi w:val="0"/>
        <w:spacing w:line="360" w:lineRule="auto"/>
        <w:ind w:firstLine="34"/>
        <w:outlineLvl w:val="0"/>
        <w:rPr>
          <w:rFonts w:ascii="Times New Roman" w:hAnsi="Times New Roman" w:eastAsia="宋体" w:cs="宋体"/>
          <w:spacing w:val="-2"/>
          <w:sz w:val="28"/>
          <w:szCs w:val="28"/>
          <w14:textOutline w14:w="5791" w14:cap="flat" w14:cmpd="sng" w14:algn="ctr">
            <w14:solidFill>
              <w14:srgbClr w14:val="000000"/>
            </w14:solidFill>
            <w14:prstDash w14:val="solid"/>
            <w14:miter w14:val="0"/>
          </w14:textOutline>
        </w:rPr>
      </w:pPr>
      <w:bookmarkStart w:id="1" w:name="_Toc16200"/>
      <w:r>
        <w:rPr>
          <w:rFonts w:ascii="Times New Roman" w:hAnsi="Times New Roman" w:eastAsia="宋体" w:cs="宋体"/>
          <w:spacing w:val="-2"/>
          <w:sz w:val="28"/>
          <w:szCs w:val="28"/>
          <w14:textOutline w14:w="5791" w14:cap="flat" w14:cmpd="sng" w14:algn="ctr">
            <w14:solidFill>
              <w14:srgbClr w14:val="000000"/>
            </w14:solidFill>
            <w14:prstDash w14:val="solid"/>
            <w14:miter w14:val="0"/>
          </w14:textOutline>
        </w:rPr>
        <w:t>系统填报</w:t>
      </w:r>
      <w:bookmarkEnd w:id="1"/>
    </w:p>
    <w:p>
      <w:pPr>
        <w:keepNext w:val="0"/>
        <w:keepLines w:val="0"/>
        <w:pageBreakBefore w:val="0"/>
        <w:wordWrap/>
        <w:overflowPunct/>
        <w:topLinePunct w:val="0"/>
        <w:bidi w:val="0"/>
        <w:spacing w:line="360" w:lineRule="auto"/>
        <w:rPr>
          <w:rFonts w:ascii="Times New Roman" w:hAnsi="Times New Roman" w:eastAsia="宋体" w:cs="宋体"/>
          <w:spacing w:val="-2"/>
          <w:sz w:val="24"/>
          <w:szCs w:val="24"/>
          <w14:textOutline w14:w="5791" w14:cap="flat" w14:cmpd="sng" w14:algn="ctr">
            <w14:solidFill>
              <w14:srgbClr w14:val="000000"/>
            </w14:solidFill>
            <w14:prstDash w14:val="solid"/>
            <w14:miter w14:val="0"/>
          </w14:textOutline>
        </w:rPr>
      </w:pPr>
    </w:p>
    <w:p>
      <w:pPr>
        <w:keepNext w:val="0"/>
        <w:keepLines w:val="0"/>
        <w:pageBreakBefore w:val="0"/>
        <w:wordWrap/>
        <w:overflowPunct/>
        <w:topLinePunct w:val="0"/>
        <w:bidi w:val="0"/>
        <w:spacing w:line="360" w:lineRule="auto"/>
        <w:jc w:val="center"/>
        <w:rPr>
          <w:rFonts w:ascii="Times New Roman" w:hAnsi="Times New Roman"/>
        </w:rPr>
      </w:pPr>
      <w:r>
        <w:rPr>
          <w:rFonts w:ascii="Times New Roman" w:hAnsi="Times New Roman"/>
        </w:rPr>
        <mc:AlternateContent>
          <mc:Choice Requires="wps">
            <w:drawing>
              <wp:anchor distT="0" distB="0" distL="114300" distR="114300" simplePos="0" relativeHeight="251677696" behindDoc="0" locked="0" layoutInCell="1" allowOverlap="1">
                <wp:simplePos x="0" y="0"/>
                <wp:positionH relativeFrom="column">
                  <wp:posOffset>2765425</wp:posOffset>
                </wp:positionH>
                <wp:positionV relativeFrom="paragraph">
                  <wp:posOffset>2482850</wp:posOffset>
                </wp:positionV>
                <wp:extent cx="1132205" cy="607695"/>
                <wp:effectExtent l="4445" t="4445" r="6350" b="16510"/>
                <wp:wrapNone/>
                <wp:docPr id="63" name="文本框 63"/>
                <wp:cNvGraphicFramePr/>
                <a:graphic xmlns:a="http://schemas.openxmlformats.org/drawingml/2006/main">
                  <a:graphicData uri="http://schemas.microsoft.com/office/word/2010/wordprocessingShape">
                    <wps:wsp>
                      <wps:cNvSpPr txBox="1"/>
                      <wps:spPr>
                        <a:xfrm>
                          <a:off x="0" y="0"/>
                          <a:ext cx="1132205" cy="607695"/>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b/>
                                <w:bCs/>
                                <w:color w:val="4F81BD" w:themeColor="accent1"/>
                                <w14:textFill>
                                  <w14:solidFill>
                                    <w14:schemeClr w14:val="accent1"/>
                                  </w14:solidFill>
                                </w14:textFill>
                              </w:rPr>
                            </w:pPr>
                            <w:r>
                              <w:rPr>
                                <w:rFonts w:hint="eastAsia" w:ascii="Times New Roman" w:hAnsi="Times New Roman" w:eastAsia="宋体"/>
                                <w:b/>
                                <w:bCs/>
                                <w:color w:val="4F81BD" w:themeColor="accent1"/>
                                <w14:textFill>
                                  <w14:solidFill>
                                    <w14:schemeClr w14:val="accent1"/>
                                  </w14:solidFill>
                                </w14:textFill>
                              </w:rPr>
                              <w:t>首次申报的排污单位点“许可证申请”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75pt;margin-top:195.5pt;height:47.85pt;width:89.15pt;z-index:251677696;mso-width-relative:page;mso-height-relative:page;" fillcolor="#FFFFFF [3201]" filled="t" stroked="t" coordsize="21600,21600" o:gfxdata="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3sLy2QAAAAsBAAAPAAAAAAAAAAEAIAAAACIAAABk&#10;cnMvZG93bnJldi54bWxQSwECFAAUAAAACACHTuJA6XXpYD4CAABsBAAADgAAAAAAAAABACAAAAAo&#10;AQAAZHJzL2Uyb0RvYy54bWxQSwUGAAAAAAYABgBZAQAA2AUAAAAA&#10;">
                <v:fill on="t" focussize="0,0"/>
                <v:stroke weight="0.5pt" color="#1F497D [3215]" joinstyle="round"/>
                <v:imagedata o:title=""/>
                <o:lock v:ext="edit" aspectratio="f"/>
                <v:textbox>
                  <w:txbxContent>
                    <w:p>
                      <w:pPr>
                        <w:rPr>
                          <w:rFonts w:ascii="Times New Roman" w:hAnsi="Times New Roman" w:eastAsia="宋体"/>
                          <w:b/>
                          <w:bCs/>
                          <w:color w:val="4F81BD" w:themeColor="accent1"/>
                          <w14:textFill>
                            <w14:solidFill>
                              <w14:schemeClr w14:val="accent1"/>
                            </w14:solidFill>
                          </w14:textFill>
                        </w:rPr>
                      </w:pPr>
                      <w:r>
                        <w:rPr>
                          <w:rFonts w:hint="eastAsia" w:ascii="Times New Roman" w:hAnsi="Times New Roman" w:eastAsia="宋体"/>
                          <w:b/>
                          <w:bCs/>
                          <w:color w:val="4F81BD" w:themeColor="accent1"/>
                          <w14:textFill>
                            <w14:solidFill>
                              <w14:schemeClr w14:val="accent1"/>
                            </w14:solidFill>
                          </w14:textFill>
                        </w:rPr>
                        <w:t>首次申报的排污单位点“许可证申请”</w:t>
                      </w:r>
                    </w:p>
                  </w:txbxContent>
                </v:textbox>
              </v:shape>
            </w:pict>
          </mc:Fallback>
        </mc:AlternateContent>
      </w:r>
      <w:r>
        <w:rPr>
          <w:rFonts w:ascii="Times New Roman" w:hAnsi="Times New Roman"/>
        </w:rPr>
        <w:drawing>
          <wp:inline distT="0" distB="0" distL="114300" distR="114300">
            <wp:extent cx="8770620" cy="5047615"/>
            <wp:effectExtent l="9525" t="9525" r="20955" b="1016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24"/>
                    <a:stretch>
                      <a:fillRect/>
                    </a:stretch>
                  </pic:blipFill>
                  <pic:spPr>
                    <a:xfrm>
                      <a:off x="0" y="0"/>
                      <a:ext cx="8770620" cy="5047615"/>
                    </a:xfrm>
                    <a:prstGeom prst="rect">
                      <a:avLst/>
                    </a:prstGeom>
                    <a:noFill/>
                    <a:ln>
                      <a:solidFill>
                        <a:schemeClr val="tx1"/>
                      </a:solidFill>
                    </a:ln>
                  </pic:spPr>
                </pic:pic>
              </a:graphicData>
            </a:graphic>
          </wp:inline>
        </w:drawing>
      </w: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jc w:val="center"/>
        <w:rPr>
          <w:rFonts w:ascii="Times New Roman" w:hAnsi="Times New Roman"/>
        </w:rPr>
      </w:pPr>
      <w:r>
        <w:rPr>
          <w:rFonts w:ascii="Times New Roman" w:hAnsi="Times New Roman"/>
        </w:rPr>
        <mc:AlternateContent>
          <mc:Choice Requires="wps">
            <w:drawing>
              <wp:anchor distT="0" distB="0" distL="114300" distR="114300" simplePos="0" relativeHeight="251678720" behindDoc="0" locked="0" layoutInCell="1" allowOverlap="1">
                <wp:simplePos x="0" y="0"/>
                <wp:positionH relativeFrom="column">
                  <wp:posOffset>3609975</wp:posOffset>
                </wp:positionH>
                <wp:positionV relativeFrom="paragraph">
                  <wp:posOffset>1811020</wp:posOffset>
                </wp:positionV>
                <wp:extent cx="1299210" cy="465455"/>
                <wp:effectExtent l="5080" t="4445" r="10160" b="6350"/>
                <wp:wrapNone/>
                <wp:docPr id="65" name="文本框 65"/>
                <wp:cNvGraphicFramePr/>
                <a:graphic xmlns:a="http://schemas.openxmlformats.org/drawingml/2006/main">
                  <a:graphicData uri="http://schemas.microsoft.com/office/word/2010/wordprocessingShape">
                    <wps:wsp>
                      <wps:cNvSpPr txBox="1"/>
                      <wps:spPr>
                        <a:xfrm>
                          <a:off x="0" y="0"/>
                          <a:ext cx="1299210" cy="465455"/>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b/>
                                <w:bCs/>
                                <w:color w:val="4F81BD" w:themeColor="accent1"/>
                                <w14:textFill>
                                  <w14:solidFill>
                                    <w14:schemeClr w14:val="accent1"/>
                                  </w14:solidFill>
                                </w14:textFill>
                              </w:rPr>
                            </w:pPr>
                            <w:r>
                              <w:rPr>
                                <w:rFonts w:hint="eastAsia" w:ascii="Times New Roman" w:hAnsi="Times New Roman" w:eastAsia="宋体"/>
                                <w:b/>
                                <w:bCs/>
                                <w:color w:val="4F81BD" w:themeColor="accent1"/>
                                <w14:textFill>
                                  <w14:solidFill>
                                    <w14:schemeClr w14:val="accent1"/>
                                  </w14:solidFill>
                                </w14:textFill>
                              </w:rPr>
                              <w:t>首次申报的排污单位点“首次申请”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25pt;margin-top:142.6pt;height:36.65pt;width:102.3pt;z-index:251678720;mso-width-relative:page;mso-height-relative:page;" fillcolor="#FFFFFF [3201]" filled="t" stroked="t" coordsize="21600,21600" o:gfxdata="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989F9kAAAALAQAADwAAAAAAAAABACAAAAAiAAAA&#10;ZHJzL2Rvd25yZXYueG1sUEsBAhQAFAAAAAgAh07iQINsaqI/AgAAbAQAAA4AAAAAAAAAAQAgAAAA&#10;KAEAAGRycy9lMm9Eb2MueG1sUEsFBgAAAAAGAAYAWQEAANkFAAAAAA==&#10;">
                <v:fill on="t" focussize="0,0"/>
                <v:stroke weight="0.5pt" color="#1F497D [3215]" joinstyle="round"/>
                <v:imagedata o:title=""/>
                <o:lock v:ext="edit" aspectratio="f"/>
                <v:textbox>
                  <w:txbxContent>
                    <w:p>
                      <w:pPr>
                        <w:rPr>
                          <w:rFonts w:ascii="Times New Roman" w:hAnsi="Times New Roman" w:eastAsia="宋体"/>
                          <w:b/>
                          <w:bCs/>
                          <w:color w:val="4F81BD" w:themeColor="accent1"/>
                          <w14:textFill>
                            <w14:solidFill>
                              <w14:schemeClr w14:val="accent1"/>
                            </w14:solidFill>
                          </w14:textFill>
                        </w:rPr>
                      </w:pPr>
                      <w:r>
                        <w:rPr>
                          <w:rFonts w:hint="eastAsia" w:ascii="Times New Roman" w:hAnsi="Times New Roman" w:eastAsia="宋体"/>
                          <w:b/>
                          <w:bCs/>
                          <w:color w:val="4F81BD" w:themeColor="accent1"/>
                          <w14:textFill>
                            <w14:solidFill>
                              <w14:schemeClr w14:val="accent1"/>
                            </w14:solidFill>
                          </w14:textFill>
                        </w:rPr>
                        <w:t>首次申报的排污单位点“首次申请”</w:t>
                      </w:r>
                    </w:p>
                  </w:txbxContent>
                </v:textbox>
              </v:shape>
            </w:pict>
          </mc:Fallback>
        </mc:AlternateContent>
      </w:r>
      <w:r>
        <w:rPr>
          <w:rFonts w:ascii="Times New Roman" w:hAnsi="Times New Roman"/>
        </w:rPr>
        <w:drawing>
          <wp:inline distT="0" distB="0" distL="114300" distR="114300">
            <wp:extent cx="8776335" cy="4635500"/>
            <wp:effectExtent l="9525" t="9525" r="15240" b="22225"/>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25"/>
                    <a:stretch>
                      <a:fillRect/>
                    </a:stretch>
                  </pic:blipFill>
                  <pic:spPr>
                    <a:xfrm>
                      <a:off x="0" y="0"/>
                      <a:ext cx="8776335" cy="4635500"/>
                    </a:xfrm>
                    <a:prstGeom prst="rect">
                      <a:avLst/>
                    </a:prstGeom>
                    <a:noFill/>
                    <a:ln>
                      <a:solidFill>
                        <a:schemeClr val="tx1"/>
                      </a:solidFill>
                    </a:ln>
                  </pic:spPr>
                </pic:pic>
              </a:graphicData>
            </a:graphic>
          </wp:inline>
        </w:drawing>
      </w: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jc w:val="center"/>
        <w:rPr>
          <w:rFonts w:ascii="Times New Roman" w:hAnsi="Times New Roman"/>
        </w:rPr>
      </w:pPr>
      <w:r>
        <w:rPr>
          <w:rFonts w:ascii="Times New Roman" w:hAnsi="Times New Roman"/>
        </w:rPr>
        <mc:AlternateContent>
          <mc:Choice Requires="wps">
            <w:drawing>
              <wp:anchor distT="0" distB="0" distL="114300" distR="114300" simplePos="0" relativeHeight="251679744" behindDoc="0" locked="0" layoutInCell="1" allowOverlap="1">
                <wp:simplePos x="0" y="0"/>
                <wp:positionH relativeFrom="column">
                  <wp:posOffset>5020945</wp:posOffset>
                </wp:positionH>
                <wp:positionV relativeFrom="paragraph">
                  <wp:posOffset>2831465</wp:posOffset>
                </wp:positionV>
                <wp:extent cx="1144905" cy="465455"/>
                <wp:effectExtent l="5080" t="4445" r="12065" b="6350"/>
                <wp:wrapNone/>
                <wp:docPr id="67" name="文本框 67"/>
                <wp:cNvGraphicFramePr/>
                <a:graphic xmlns:a="http://schemas.openxmlformats.org/drawingml/2006/main">
                  <a:graphicData uri="http://schemas.microsoft.com/office/word/2010/wordprocessingShape">
                    <wps:wsp>
                      <wps:cNvSpPr txBox="1"/>
                      <wps:spPr>
                        <a:xfrm>
                          <a:off x="0" y="0"/>
                          <a:ext cx="1144905" cy="465455"/>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b/>
                                <w:bCs/>
                                <w:color w:val="4F81BD" w:themeColor="accent1"/>
                                <w14:textFill>
                                  <w14:solidFill>
                                    <w14:schemeClr w14:val="accent1"/>
                                  </w14:solidFill>
                                </w14:textFill>
                              </w:rPr>
                            </w:pPr>
                            <w:r>
                              <w:rPr>
                                <w:rFonts w:hint="eastAsia" w:ascii="Times New Roman" w:hAnsi="Times New Roman" w:eastAsia="宋体"/>
                                <w:b/>
                                <w:bCs/>
                                <w:color w:val="4F81BD" w:themeColor="accent1"/>
                                <w14:textFill>
                                  <w14:solidFill>
                                    <w14:schemeClr w14:val="accent1"/>
                                  </w14:solidFill>
                                </w14:textFill>
                              </w:rPr>
                              <w:t>点“我要申报”，生成表单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35pt;margin-top:222.95pt;height:36.65pt;width:90.15pt;z-index:251679744;mso-width-relative:page;mso-height-relative:page;" fillcolor="#FFFFFF [3201]" filled="t" stroked="t" coordsize="21600,21600" o:gfxdata="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&#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AGBqk2gAAAAsBAAAPAAAAAAAAAAEAIAAAACIAAABk&#10;cnMvZG93bnJldi54bWxQSwECFAAUAAAACACHTuJA8gJniD0CAABsBAAADgAAAAAAAAABACAAAAAp&#10;AQAAZHJzL2Uyb0RvYy54bWxQSwUGAAAAAAYABgBZAQAA2AUAAAAA&#10;">
                <v:fill on="t" focussize="0,0"/>
                <v:stroke weight="0.5pt" color="#1F497D [3215]" joinstyle="round"/>
                <v:imagedata o:title=""/>
                <o:lock v:ext="edit" aspectratio="f"/>
                <v:textbox>
                  <w:txbxContent>
                    <w:p>
                      <w:pPr>
                        <w:rPr>
                          <w:rFonts w:ascii="Times New Roman" w:hAnsi="Times New Roman" w:eastAsia="宋体"/>
                          <w:b/>
                          <w:bCs/>
                          <w:color w:val="4F81BD" w:themeColor="accent1"/>
                          <w14:textFill>
                            <w14:solidFill>
                              <w14:schemeClr w14:val="accent1"/>
                            </w14:solidFill>
                          </w14:textFill>
                        </w:rPr>
                      </w:pPr>
                      <w:r>
                        <w:rPr>
                          <w:rFonts w:hint="eastAsia" w:ascii="Times New Roman" w:hAnsi="Times New Roman" w:eastAsia="宋体"/>
                          <w:b/>
                          <w:bCs/>
                          <w:color w:val="4F81BD" w:themeColor="accent1"/>
                          <w14:textFill>
                            <w14:solidFill>
                              <w14:schemeClr w14:val="accent1"/>
                            </w14:solidFill>
                          </w14:textFill>
                        </w:rPr>
                        <w:t>点“我要申报”，生成表单</w:t>
                      </w:r>
                    </w:p>
                  </w:txbxContent>
                </v:textbox>
              </v:shape>
            </w:pict>
          </mc:Fallback>
        </mc:AlternateContent>
      </w:r>
      <w:r>
        <w:rPr>
          <w:rFonts w:ascii="Times New Roman" w:hAnsi="Times New Roman"/>
        </w:rPr>
        <w:drawing>
          <wp:inline distT="0" distB="0" distL="114300" distR="114300">
            <wp:extent cx="8947785" cy="3356610"/>
            <wp:effectExtent l="9525" t="9525" r="15240" b="24765"/>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26"/>
                    <a:stretch>
                      <a:fillRect/>
                    </a:stretch>
                  </pic:blipFill>
                  <pic:spPr>
                    <a:xfrm>
                      <a:off x="0" y="0"/>
                      <a:ext cx="8947785" cy="3356610"/>
                    </a:xfrm>
                    <a:prstGeom prst="rect">
                      <a:avLst/>
                    </a:prstGeom>
                    <a:noFill/>
                    <a:ln>
                      <a:solidFill>
                        <a:schemeClr val="tx1"/>
                      </a:solidFill>
                    </a:ln>
                  </pic:spPr>
                </pic:pic>
              </a:graphicData>
            </a:graphic>
          </wp:inline>
        </w:drawing>
      </w: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jc w:val="center"/>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sectPr>
          <w:footerReference r:id="rId6" w:type="default"/>
          <w:pgSz w:w="16839" w:h="11907"/>
          <w:pgMar w:top="567" w:right="567" w:bottom="567" w:left="567" w:header="0" w:footer="1259" w:gutter="0"/>
          <w:pgNumType w:fmt="decimal"/>
          <w:cols w:space="720" w:num="1"/>
        </w:sectPr>
      </w:pP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32"/>
          <w:szCs w:val="32"/>
          <w14:textOutline w14:w="5791" w14:cap="flat" w14:cmpd="sng" w14:algn="ctr">
            <w14:solidFill>
              <w14:srgbClr w14:val="000000"/>
            </w14:solidFill>
            <w14:prstDash w14:val="solid"/>
            <w14:miter w14:val="0"/>
          </w14:textOutline>
        </w:rPr>
      </w:pPr>
      <w:bookmarkStart w:id="2" w:name="_Toc28278"/>
      <w:r>
        <w:rPr>
          <w:rFonts w:ascii="Times New Roman" w:hAnsi="Times New Roman" w:eastAsia="Cambria" w:cs="Cambria"/>
          <w:b/>
          <w:bCs/>
          <w:spacing w:val="-6"/>
          <w:sz w:val="28"/>
          <w:szCs w:val="28"/>
        </w:rPr>
        <w:t>1</w:t>
      </w:r>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、排污单位基本信息</w:t>
      </w:r>
      <w:bookmarkEnd w:id="2"/>
    </w:p>
    <w:p>
      <w:pPr>
        <w:keepNext w:val="0"/>
        <w:keepLines w:val="0"/>
        <w:pageBreakBefore w:val="0"/>
        <w:wordWrap/>
        <w:overflowPunct/>
        <w:topLinePunct w:val="0"/>
        <w:bidi w:val="0"/>
        <w:spacing w:before="272" w:line="360" w:lineRule="auto"/>
        <w:ind w:firstLine="13"/>
        <w:rPr>
          <w:rFonts w:ascii="Times New Roman" w:hAnsi="Times New Roman" w:eastAsia="宋体" w:cs="宋体"/>
          <w:spacing w:val="-6"/>
          <w:sz w:val="32"/>
          <w:szCs w:val="32"/>
          <w14:textOutline w14:w="5791" w14:cap="flat" w14:cmpd="sng" w14:algn="ctr">
            <w14:solidFill>
              <w14:srgbClr w14:val="000000"/>
            </w14:solidFill>
            <w14:prstDash w14:val="solid"/>
            <w14:miter w14:val="0"/>
          </w14:textOutline>
        </w:rPr>
      </w:pPr>
      <w:r>
        <w:rPr>
          <w:rFonts w:ascii="Times New Roman" w:hAnsi="Times New Roman"/>
        </w:rPr>
        <mc:AlternateContent>
          <mc:Choice Requires="wps">
            <w:drawing>
              <wp:anchor distT="0" distB="0" distL="114300" distR="114300" simplePos="0" relativeHeight="251680768" behindDoc="0" locked="0" layoutInCell="1" allowOverlap="1">
                <wp:simplePos x="0" y="0"/>
                <wp:positionH relativeFrom="column">
                  <wp:posOffset>890905</wp:posOffset>
                </wp:positionH>
                <wp:positionV relativeFrom="paragraph">
                  <wp:posOffset>1288415</wp:posOffset>
                </wp:positionV>
                <wp:extent cx="1144905" cy="977900"/>
                <wp:effectExtent l="4445" t="4445" r="12700" b="8255"/>
                <wp:wrapNone/>
                <wp:docPr id="69" name="文本框 69"/>
                <wp:cNvGraphicFramePr/>
                <a:graphic xmlns:a="http://schemas.openxmlformats.org/drawingml/2006/main">
                  <a:graphicData uri="http://schemas.microsoft.com/office/word/2010/wordprocessingShape">
                    <wps:wsp>
                      <wps:cNvSpPr txBox="1"/>
                      <wps:spPr>
                        <a:xfrm>
                          <a:off x="0" y="0"/>
                          <a:ext cx="1144905" cy="97790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b/>
                                <w:bCs/>
                                <w:color w:val="4F81BD" w:themeColor="accent1"/>
                                <w14:textFill>
                                  <w14:solidFill>
                                    <w14:schemeClr w14:val="accent1"/>
                                  </w14:solidFill>
                                </w14:textFill>
                              </w:rPr>
                            </w:pPr>
                            <w:r>
                              <w:rPr>
                                <w:rFonts w:hint="eastAsia" w:ascii="Times New Roman" w:hAnsi="Times New Roman" w:eastAsia="宋体"/>
                                <w:b/>
                                <w:bCs/>
                                <w:color w:val="4F81BD" w:themeColor="accent1"/>
                                <w14:textFill>
                                  <w14:solidFill>
                                    <w14:schemeClr w14:val="accent1"/>
                                  </w14:solidFill>
                                </w14:textFill>
                              </w:rPr>
                              <w:t>目录栏出现“排污单位基本情况”表，填完本表后，才会出现系统所有表格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15pt;margin-top:101.45pt;height:77pt;width:90.15pt;z-index:251680768;mso-width-relative:page;mso-height-relative:page;" fillcolor="#FFFFFF [3201]" filled="t" stroked="t" coordsize="21600,21600" o:gfxdata="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49LPdkAAAALAQAADwAAAAAAAAABACAAAAAiAAAA&#10;ZHJzL2Rvd25yZXYueG1sUEsBAhQAFAAAAAgAh07iQMmoaCM/AgAAbAQAAA4AAAAAAAAAAQAgAAAA&#10;KAEAAGRycy9lMm9Eb2MueG1sUEsFBgAAAAAGAAYAWQEAANkFAAAAAA==&#10;">
                <v:fill on="t" focussize="0,0"/>
                <v:stroke weight="0.5pt" color="#1F497D [3215]" joinstyle="round"/>
                <v:imagedata o:title=""/>
                <o:lock v:ext="edit" aspectratio="f"/>
                <v:textbox>
                  <w:txbxContent>
                    <w:p>
                      <w:pPr>
                        <w:rPr>
                          <w:rFonts w:ascii="Times New Roman" w:hAnsi="Times New Roman" w:eastAsia="宋体"/>
                          <w:b/>
                          <w:bCs/>
                          <w:color w:val="4F81BD" w:themeColor="accent1"/>
                          <w14:textFill>
                            <w14:solidFill>
                              <w14:schemeClr w14:val="accent1"/>
                            </w14:solidFill>
                          </w14:textFill>
                        </w:rPr>
                      </w:pPr>
                      <w:r>
                        <w:rPr>
                          <w:rFonts w:hint="eastAsia" w:ascii="Times New Roman" w:hAnsi="Times New Roman" w:eastAsia="宋体"/>
                          <w:b/>
                          <w:bCs/>
                          <w:color w:val="4F81BD" w:themeColor="accent1"/>
                          <w14:textFill>
                            <w14:solidFill>
                              <w14:schemeClr w14:val="accent1"/>
                            </w14:solidFill>
                          </w14:textFill>
                        </w:rPr>
                        <w:t>目录栏出现“排污单位基本情况”表，填完本表后，才会出现系统所有表格</w:t>
                      </w:r>
                    </w:p>
                  </w:txbxContent>
                </v:textbox>
              </v:shape>
            </w:pict>
          </mc:Fallback>
        </mc:AlternateContent>
      </w:r>
      <w:r>
        <w:rPr>
          <w:rFonts w:ascii="Times New Roman" w:hAnsi="Times New Roman"/>
        </w:rPr>
        <w:drawing>
          <wp:inline distT="0" distB="0" distL="114300" distR="114300">
            <wp:extent cx="8676005" cy="3393440"/>
            <wp:effectExtent l="9525" t="9525" r="20320" b="26035"/>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27"/>
                    <a:stretch>
                      <a:fillRect/>
                    </a:stretch>
                  </pic:blipFill>
                  <pic:spPr>
                    <a:xfrm>
                      <a:off x="0" y="0"/>
                      <a:ext cx="8676005" cy="3393440"/>
                    </a:xfrm>
                    <a:prstGeom prst="rect">
                      <a:avLst/>
                    </a:prstGeom>
                    <a:noFill/>
                    <a:ln>
                      <a:solidFill>
                        <a:schemeClr val="tx1"/>
                      </a:solidFill>
                    </a:ln>
                  </pic:spPr>
                </pic:pic>
              </a:graphicData>
            </a:graphic>
          </wp:inline>
        </w:drawing>
      </w:r>
    </w:p>
    <w:p>
      <w:pPr>
        <w:keepNext w:val="0"/>
        <w:keepLines w:val="0"/>
        <w:pageBreakBefore w:val="0"/>
        <w:wordWrap/>
        <w:overflowPunct/>
        <w:topLinePunct w:val="0"/>
        <w:bidi w:val="0"/>
        <w:spacing w:line="360" w:lineRule="auto"/>
        <w:rPr>
          <w:rFonts w:ascii="Times New Roman" w:hAnsi="Times New Roman" w:eastAsia="宋体" w:cs="宋体"/>
          <w:b/>
          <w:bCs/>
          <w:spacing w:val="-11"/>
          <w:sz w:val="24"/>
          <w:szCs w:val="24"/>
        </w:rPr>
      </w:pPr>
      <w:r>
        <w:rPr>
          <w:rFonts w:ascii="Times New Roman" w:hAnsi="Times New Roman" w:eastAsia="宋体" w:cs="宋体"/>
          <w:b/>
          <w:bCs/>
          <w:spacing w:val="-11"/>
          <w:sz w:val="24"/>
          <w:szCs w:val="24"/>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3" w:name="_Toc25678"/>
      <w:bookmarkStart w:id="4" w:name="_Toc27755"/>
      <w:r>
        <w:rPr>
          <w:rFonts w:hint="eastAsia" w:ascii="Times New Roman" w:hAnsi="Times New Roman" w:eastAsia="宋体" w:cstheme="minorBidi"/>
          <w:b/>
          <w:bCs/>
          <w:snapToGrid/>
          <w:kern w:val="2"/>
          <w:sz w:val="24"/>
          <w:szCs w:val="24"/>
        </w:rPr>
        <w:t>排污单位基本信息表填报注意事项：</w:t>
      </w:r>
      <w:bookmarkEnd w:id="3"/>
      <w:bookmarkEnd w:id="4"/>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5" w:name="_Toc19593"/>
      <w:r>
        <w:rPr>
          <w:rFonts w:hint="eastAsia" w:ascii="Times New Roman" w:hAnsi="Times New Roman" w:eastAsia="宋体" w:cstheme="minorBidi"/>
          <w:b/>
          <w:bCs/>
          <w:snapToGrid/>
          <w:kern w:val="2"/>
          <w:sz w:val="24"/>
          <w:szCs w:val="24"/>
        </w:rPr>
        <w:t>1.1 是否需改正</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根据《关于固定污染源排污限期整改有关事项的通知》（环评〔2020〕19号），存在以下情形之一的，选择“是”：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一）“不能达标排放”类，污染物排放不符合污染物排放标准要求；重点污染物排放不符合排污许可证申请与核发技术规范、环境影响报告书（表）批准文件、重点污染物排放总量控制要求；排污单位位于未达到国家环境质量标准的重点区域、流域，污染物排放不符合有关地方人民政府关于改善生态环境质量特别要求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二）“手续不全”类，未依法取得建设项目环境影响报告书（表）批准文件，未办理环境影响登记备案手续，但是已经按照有关规定获得经地方人民政府依法处理、整顿规范并符合要求的相关证明材料的，或者按照地方人民政府有关规定已经取得排污许可证的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（三）“其他”类，如未按照规定安装、使用自动监测设备并与生态环境主管部门监控设备联网，未按规定设置污染物排放口等。</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6" w:name="_Toc31423"/>
      <w:r>
        <w:rPr>
          <w:rFonts w:hint="eastAsia" w:ascii="Times New Roman" w:hAnsi="Times New Roman" w:eastAsia="宋体" w:cstheme="minorBidi"/>
          <w:b/>
          <w:bCs/>
          <w:snapToGrid/>
          <w:kern w:val="2"/>
          <w:sz w:val="24"/>
          <w:szCs w:val="24"/>
        </w:rPr>
        <w:t>1.2 排污许可证管理类别</w:t>
      </w:r>
      <w:bookmarkEnd w:id="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根据《固定污染源排污许可分类管理名录（2019年版）》判断、确定，简化管理类企业选“简化管理”。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7" w:name="_Toc11996"/>
      <w:r>
        <w:rPr>
          <w:rFonts w:hint="eastAsia" w:ascii="Times New Roman" w:hAnsi="Times New Roman" w:eastAsia="宋体" w:cstheme="minorBidi"/>
          <w:b/>
          <w:bCs/>
          <w:snapToGrid/>
          <w:kern w:val="2"/>
          <w:sz w:val="24"/>
          <w:szCs w:val="24"/>
        </w:rPr>
        <w:t>1.3 地址</w:t>
      </w:r>
      <w:bookmarkEnd w:id="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注册地址填写营业执照上的地址，生产经营场所地址填写实际生产场所的地址。</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8" w:name="_Toc15354"/>
      <w:r>
        <w:rPr>
          <w:rFonts w:hint="eastAsia" w:ascii="Times New Roman" w:hAnsi="Times New Roman" w:eastAsia="宋体" w:cstheme="minorBidi"/>
          <w:b/>
          <w:bCs/>
          <w:snapToGrid/>
          <w:kern w:val="2"/>
          <w:sz w:val="24"/>
          <w:szCs w:val="24"/>
        </w:rPr>
        <w:t>1.4 “生产经营场所中心经度”/“生产经营场所中心纬度”</w:t>
      </w:r>
      <w:bookmarkEnd w:id="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拾取步骤分三步：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第1步：点击“拾取”；第2步：地图上找到企业位置后左键单击地图，出现红色圆点；第3步：点击“确定”。</w:t>
      </w:r>
    </w:p>
    <w:p>
      <w:pPr>
        <w:keepNext w:val="0"/>
        <w:keepLines w:val="0"/>
        <w:pageBreakBefore w:val="0"/>
        <w:wordWrap/>
        <w:overflowPunct/>
        <w:topLinePunct w:val="0"/>
        <w:bidi w:val="0"/>
        <w:spacing w:before="91" w:line="360" w:lineRule="auto"/>
        <w:ind w:firstLine="447" w:firstLineChars="213"/>
        <w:rPr>
          <w:rFonts w:ascii="Times New Roman" w:hAnsi="Times New Roman" w:eastAsia="宋体" w:cs="宋体"/>
          <w:spacing w:val="-11"/>
          <w:sz w:val="24"/>
          <w:szCs w:val="24"/>
        </w:rPr>
      </w:pPr>
      <w:r>
        <w:rPr>
          <w:rFonts w:ascii="Times New Roman" w:hAnsi="Times New Roman"/>
        </w:rPr>
        <mc:AlternateContent>
          <mc:Choice Requires="wps">
            <w:drawing>
              <wp:anchor distT="0" distB="0" distL="114300" distR="114300" simplePos="0" relativeHeight="251682816" behindDoc="0" locked="0" layoutInCell="1" allowOverlap="1">
                <wp:simplePos x="0" y="0"/>
                <wp:positionH relativeFrom="column">
                  <wp:posOffset>6598285</wp:posOffset>
                </wp:positionH>
                <wp:positionV relativeFrom="paragraph">
                  <wp:posOffset>2569845</wp:posOffset>
                </wp:positionV>
                <wp:extent cx="621665" cy="275590"/>
                <wp:effectExtent l="5080" t="4445" r="20955" b="5715"/>
                <wp:wrapNone/>
                <wp:docPr id="73" name="文本框 73"/>
                <wp:cNvGraphicFramePr/>
                <a:graphic xmlns:a="http://schemas.openxmlformats.org/drawingml/2006/main">
                  <a:graphicData uri="http://schemas.microsoft.com/office/word/2010/wordprocessingShape">
                    <wps:wsp>
                      <wps:cNvSpPr txBox="1"/>
                      <wps:spPr>
                        <a:xfrm>
                          <a:off x="0" y="0"/>
                          <a:ext cx="621665" cy="27559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b/>
                                <w:bCs/>
                                <w:color w:val="FF0000"/>
                              </w:rPr>
                            </w:pPr>
                            <w:r>
                              <w:rPr>
                                <w:rFonts w:hint="eastAsia" w:ascii="Times New Roman" w:hAnsi="Times New Roman" w:eastAsia="宋体"/>
                                <w:b/>
                                <w:bCs/>
                                <w:color w:val="FF0000"/>
                              </w:rPr>
                              <w:t>第一步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9.55pt;margin-top:202.35pt;height:21.7pt;width:48.95pt;z-index:251682816;mso-width-relative:page;mso-height-relative:page;" fillcolor="#FFFFFF [3201]" filled="t" stroked="t" coordsize="21600,21600" o:gfxdata="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GRmOX2gAAAA0BAAAPAAAAAAAAAAEAIAAAACIA&#10;AABkcnMvZG93bnJldi54bWxQSwECFAAUAAAACACHTuJAl2CurUACAABrBAAADgAAAAAAAAABACAA&#10;AAApAQAAZHJzL2Uyb0RvYy54bWxQSwUGAAAAAAYABgBZAQAA2wUAAAAA&#10;">
                <v:fill on="t" focussize="0,0"/>
                <v:stroke weight="0.5pt" color="#1F497D [3215]" joinstyle="round"/>
                <v:imagedata o:title=""/>
                <o:lock v:ext="edit" aspectratio="f"/>
                <v:textbox>
                  <w:txbxContent>
                    <w:p>
                      <w:pPr>
                        <w:rPr>
                          <w:rFonts w:ascii="Times New Roman" w:hAnsi="Times New Roman" w:eastAsia="宋体"/>
                          <w:b/>
                          <w:bCs/>
                          <w:color w:val="FF0000"/>
                        </w:rPr>
                      </w:pPr>
                      <w:r>
                        <w:rPr>
                          <w:rFonts w:hint="eastAsia" w:ascii="Times New Roman" w:hAnsi="Times New Roman" w:eastAsia="宋体"/>
                          <w:b/>
                          <w:bCs/>
                          <w:color w:val="FF0000"/>
                        </w:rPr>
                        <w:t>第一步</w:t>
                      </w:r>
                    </w:p>
                  </w:txbxContent>
                </v:textbox>
              </v:shape>
            </w:pict>
          </mc:Fallback>
        </mc:AlternateContent>
      </w:r>
      <w:r>
        <w:rPr>
          <w:rFonts w:ascii="Times New Roman" w:hAnsi="Times New Roman"/>
        </w:rPr>
        <mc:AlternateContent>
          <mc:Choice Requires="wps">
            <w:drawing>
              <wp:anchor distT="0" distB="0" distL="114300" distR="114300" simplePos="0" relativeHeight="251683840" behindDoc="0" locked="0" layoutInCell="1" allowOverlap="1">
                <wp:simplePos x="0" y="0"/>
                <wp:positionH relativeFrom="column">
                  <wp:posOffset>8217535</wp:posOffset>
                </wp:positionH>
                <wp:positionV relativeFrom="paragraph">
                  <wp:posOffset>2484120</wp:posOffset>
                </wp:positionV>
                <wp:extent cx="621665" cy="275590"/>
                <wp:effectExtent l="5080" t="4445" r="20955" b="5715"/>
                <wp:wrapNone/>
                <wp:docPr id="74" name="文本框 74"/>
                <wp:cNvGraphicFramePr/>
                <a:graphic xmlns:a="http://schemas.openxmlformats.org/drawingml/2006/main">
                  <a:graphicData uri="http://schemas.microsoft.com/office/word/2010/wordprocessingShape">
                    <wps:wsp>
                      <wps:cNvSpPr txBox="1"/>
                      <wps:spPr>
                        <a:xfrm>
                          <a:off x="0" y="0"/>
                          <a:ext cx="621665" cy="27559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b/>
                                <w:bCs/>
                                <w:color w:val="FF0000"/>
                              </w:rPr>
                            </w:pPr>
                            <w:r>
                              <w:rPr>
                                <w:rFonts w:hint="eastAsia" w:ascii="Times New Roman" w:hAnsi="Times New Roman" w:eastAsia="宋体"/>
                                <w:b/>
                                <w:bCs/>
                                <w:color w:val="FF0000"/>
                              </w:rPr>
                              <w:t>第三步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7.05pt;margin-top:195.6pt;height:21.7pt;width:48.95pt;z-index:251683840;mso-width-relative:page;mso-height-relative:page;" fillcolor="#FFFFFF [3201]" filled="t" stroked="t" coordsize="21600,21600" o:gfxdata="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WMgYd2gAAAA0BAAAPAAAAAAAAAAEAIAAAACIA&#10;AABkcnMvZG93bnJldi54bWxQSwECFAAUAAAACACHTuJAZEzOIUACAABrBAAADgAAAAAAAAABACAA&#10;AAApAQAAZHJzL2Uyb0RvYy54bWxQSwUGAAAAAAYABgBZAQAA2wUAAAAA&#10;">
                <v:fill on="t" focussize="0,0"/>
                <v:stroke weight="0.5pt" color="#1F497D [3215]" joinstyle="round"/>
                <v:imagedata o:title=""/>
                <o:lock v:ext="edit" aspectratio="f"/>
                <v:textbox>
                  <w:txbxContent>
                    <w:p>
                      <w:pPr>
                        <w:rPr>
                          <w:rFonts w:ascii="Times New Roman" w:hAnsi="Times New Roman" w:eastAsia="宋体"/>
                          <w:b/>
                          <w:bCs/>
                          <w:color w:val="FF0000"/>
                        </w:rPr>
                      </w:pPr>
                      <w:r>
                        <w:rPr>
                          <w:rFonts w:hint="eastAsia" w:ascii="Times New Roman" w:hAnsi="Times New Roman" w:eastAsia="宋体"/>
                          <w:b/>
                          <w:bCs/>
                          <w:color w:val="FF0000"/>
                        </w:rPr>
                        <w:t>第三步</w:t>
                      </w:r>
                    </w:p>
                  </w:txbxContent>
                </v:textbox>
              </v:shape>
            </w:pict>
          </mc:Fallback>
        </mc:AlternateContent>
      </w:r>
      <w:r>
        <w:rPr>
          <w:rFonts w:ascii="Times New Roman" w:hAnsi="Times New Roman"/>
        </w:rPr>
        <mc:AlternateContent>
          <mc:Choice Requires="wps">
            <w:drawing>
              <wp:anchor distT="0" distB="0" distL="114300" distR="114300" simplePos="0" relativeHeight="251681792" behindDoc="0" locked="0" layoutInCell="1" allowOverlap="1">
                <wp:simplePos x="0" y="0"/>
                <wp:positionH relativeFrom="column">
                  <wp:posOffset>4798060</wp:posOffset>
                </wp:positionH>
                <wp:positionV relativeFrom="paragraph">
                  <wp:posOffset>3655695</wp:posOffset>
                </wp:positionV>
                <wp:extent cx="621665" cy="275590"/>
                <wp:effectExtent l="5080" t="4445" r="20955" b="5715"/>
                <wp:wrapNone/>
                <wp:docPr id="72" name="文本框 72"/>
                <wp:cNvGraphicFramePr/>
                <a:graphic xmlns:a="http://schemas.openxmlformats.org/drawingml/2006/main">
                  <a:graphicData uri="http://schemas.microsoft.com/office/word/2010/wordprocessingShape">
                    <wps:wsp>
                      <wps:cNvSpPr txBox="1"/>
                      <wps:spPr>
                        <a:xfrm>
                          <a:off x="0" y="0"/>
                          <a:ext cx="621665" cy="275590"/>
                        </a:xfrm>
                        <a:prstGeom prst="rect">
                          <a:avLst/>
                        </a:prstGeom>
                        <a:solidFill>
                          <a:schemeClr val="lt1"/>
                        </a:solidFill>
                        <a:ln w="6350">
                          <a:solidFill>
                            <a:schemeClr val="tx2"/>
                          </a:solid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eastAsia="宋体"/>
                                <w:b/>
                                <w:bCs/>
                                <w:color w:val="FF0000"/>
                              </w:rPr>
                            </w:pPr>
                            <w:r>
                              <w:rPr>
                                <w:rFonts w:hint="eastAsia" w:ascii="Times New Roman" w:hAnsi="Times New Roman" w:eastAsia="宋体"/>
                                <w:b/>
                                <w:bCs/>
                                <w:color w:val="FF0000"/>
                              </w:rPr>
                              <w:t>第二步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8pt;margin-top:287.85pt;height:21.7pt;width:48.95pt;z-index:251681792;mso-width-relative:page;mso-height-relative:page;" fillcolor="#FFFFFF [3201]" filled="t" stroked="t" coordsize="21600,21600" o:gfxdata="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mT2DXZAAAACwEAAA8AAAAAAAAAAQAgAAAAIgAA&#10;AGRycy9kb3ducmV2LnhtbFBLAQIUABQAAAAIAIdO4kBx2KjcQAIAAGsEAAAOAAAAAAAAAAEAIAAA&#10;ACgBAABkcnMvZTJvRG9jLnhtbFBLBQYAAAAABgAGAFkBAADaBQAAAAA=&#10;">
                <v:fill on="t" focussize="0,0"/>
                <v:stroke weight="0.5pt" color="#1F497D [3215]" joinstyle="round"/>
                <v:imagedata o:title=""/>
                <o:lock v:ext="edit" aspectratio="f"/>
                <v:textbox>
                  <w:txbxContent>
                    <w:p>
                      <w:pPr>
                        <w:rPr>
                          <w:rFonts w:ascii="Times New Roman" w:hAnsi="Times New Roman" w:eastAsia="宋体"/>
                          <w:b/>
                          <w:bCs/>
                          <w:color w:val="FF0000"/>
                        </w:rPr>
                      </w:pPr>
                      <w:r>
                        <w:rPr>
                          <w:rFonts w:hint="eastAsia" w:ascii="Times New Roman" w:hAnsi="Times New Roman" w:eastAsia="宋体"/>
                          <w:b/>
                          <w:bCs/>
                          <w:color w:val="FF0000"/>
                        </w:rPr>
                        <w:t>第二步</w:t>
                      </w:r>
                    </w:p>
                  </w:txbxContent>
                </v:textbox>
              </v:shape>
            </w:pict>
          </mc:Fallback>
        </mc:AlternateContent>
      </w:r>
      <w:r>
        <w:rPr>
          <w:rFonts w:ascii="Times New Roman" w:hAnsi="Times New Roman"/>
        </w:rPr>
        <w:drawing>
          <wp:inline distT="0" distB="0" distL="114300" distR="114300">
            <wp:extent cx="8675370" cy="4761865"/>
            <wp:effectExtent l="0" t="0" r="11430" b="635"/>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28"/>
                    <a:stretch>
                      <a:fillRect/>
                    </a:stretch>
                  </pic:blipFill>
                  <pic:spPr>
                    <a:xfrm>
                      <a:off x="0" y="0"/>
                      <a:ext cx="8675370" cy="4761865"/>
                    </a:xfrm>
                    <a:prstGeom prst="rect">
                      <a:avLst/>
                    </a:prstGeom>
                    <a:noFill/>
                    <a:ln>
                      <a:noFill/>
                    </a:ln>
                  </pic:spPr>
                </pic:pic>
              </a:graphicData>
            </a:graphic>
          </wp:inline>
        </w:drawing>
      </w:r>
    </w:p>
    <w:p>
      <w:pPr>
        <w:keepNext w:val="0"/>
        <w:keepLines w:val="0"/>
        <w:pageBreakBefore w:val="0"/>
        <w:wordWrap/>
        <w:overflowPunct/>
        <w:topLinePunct w:val="0"/>
        <w:bidi w:val="0"/>
        <w:spacing w:before="91" w:line="360" w:lineRule="auto"/>
        <w:ind w:firstLine="464" w:firstLineChars="213"/>
        <w:rPr>
          <w:rFonts w:ascii="Times New Roman" w:hAnsi="Times New Roman" w:eastAsia="宋体" w:cs="宋体"/>
          <w:spacing w:val="-11"/>
          <w:sz w:val="24"/>
          <w:szCs w:val="24"/>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sectPr>
          <w:footerReference r:id="rId7" w:type="default"/>
          <w:pgSz w:w="16839" w:h="11907"/>
          <w:pgMar w:top="1012" w:right="1716" w:bottom="1375" w:left="1450" w:header="0" w:footer="1259" w:gutter="0"/>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9" w:name="_Toc10027"/>
      <w:r>
        <w:rPr>
          <w:rFonts w:hint="eastAsia" w:ascii="Times New Roman" w:hAnsi="Times New Roman" w:eastAsia="宋体" w:cstheme="minorBidi"/>
          <w:b/>
          <w:bCs/>
          <w:snapToGrid/>
          <w:kern w:val="2"/>
          <w:sz w:val="24"/>
          <w:szCs w:val="24"/>
        </w:rPr>
        <w:t>1.5 是否属于“大气”、“总磷”、“总氮”、“重金属”控制区</w:t>
      </w:r>
      <w:bookmarkEnd w:id="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武汉市范围内企业请按下图填报四类控制区。</w:t>
      </w:r>
    </w:p>
    <w:p>
      <w:pPr>
        <w:keepNext w:val="0"/>
        <w:keepLines w:val="0"/>
        <w:pageBreakBefore w:val="0"/>
        <w:wordWrap/>
        <w:overflowPunct/>
        <w:topLinePunct w:val="0"/>
        <w:bidi w:val="0"/>
        <w:spacing w:line="360" w:lineRule="auto"/>
        <w:rPr>
          <w:rFonts w:ascii="Times New Roman" w:hAnsi="Times New Roman"/>
        </w:rPr>
      </w:pPr>
      <w:r>
        <w:rPr>
          <w:rFonts w:ascii="Times New Roman" w:hAnsi="Times New Roman"/>
        </w:rPr>
        <w:drawing>
          <wp:inline distT="0" distB="0" distL="114300" distR="114300">
            <wp:extent cx="8895715" cy="1955165"/>
            <wp:effectExtent l="9525" t="9525" r="10160" b="16510"/>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29"/>
                    <a:stretch>
                      <a:fillRect/>
                    </a:stretch>
                  </pic:blipFill>
                  <pic:spPr>
                    <a:xfrm>
                      <a:off x="0" y="0"/>
                      <a:ext cx="8895715" cy="1955165"/>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10" w:name="_Toc16680"/>
      <w:r>
        <w:rPr>
          <w:rFonts w:hint="eastAsia" w:ascii="Times New Roman" w:hAnsi="Times New Roman" w:eastAsia="宋体" w:cstheme="minorBidi"/>
          <w:b/>
          <w:bCs/>
          <w:snapToGrid/>
          <w:kern w:val="2"/>
          <w:sz w:val="24"/>
          <w:szCs w:val="24"/>
        </w:rPr>
        <w:t>1.6 是否有环评</w:t>
      </w:r>
      <w:r>
        <w:rPr>
          <w:rFonts w:hint="eastAsia" w:ascii="Times New Roman" w:hAnsi="Times New Roman" w:eastAsia="宋体" w:cstheme="minorBidi"/>
          <w:b/>
          <w:bCs/>
          <w:snapToGrid/>
          <w:kern w:val="2"/>
          <w:sz w:val="24"/>
          <w:szCs w:val="24"/>
          <w:lang w:val="en-US" w:eastAsia="zh-CN"/>
        </w:rPr>
        <w:t>审批</w:t>
      </w:r>
      <w:r>
        <w:rPr>
          <w:rFonts w:hint="eastAsia" w:ascii="Times New Roman" w:hAnsi="Times New Roman" w:eastAsia="宋体" w:cstheme="minorBidi"/>
          <w:b/>
          <w:bCs/>
          <w:snapToGrid/>
          <w:kern w:val="2"/>
          <w:sz w:val="24"/>
          <w:szCs w:val="24"/>
        </w:rPr>
        <w:t>文件</w:t>
      </w:r>
      <w:bookmarkEnd w:id="1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若有环评审批文件，则“是否有环评审批文件”选“是”，并填写</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lang w:val="en-US" w:eastAsia="zh-CN"/>
        </w:rPr>
        <w:t>环境影响评价</w:t>
      </w:r>
      <w:r>
        <w:rPr>
          <w:rFonts w:hint="eastAsia" w:ascii="Times New Roman" w:hAnsi="Times New Roman" w:eastAsia="宋体" w:cstheme="minorBidi"/>
          <w:snapToGrid/>
          <w:kern w:val="2"/>
          <w:sz w:val="24"/>
          <w:szCs w:val="24"/>
        </w:rPr>
        <w:t>审批文件文号或备案编号</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，有多个环评文件的，应点击“添加文号”，分别逐行填写文号；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若无环评审批文件，则“是否有环评审批文件”选“否”。</w:t>
      </w:r>
    </w:p>
    <w:p>
      <w:pPr>
        <w:keepNext w:val="0"/>
        <w:keepLines w:val="0"/>
        <w:pageBreakBefore w:val="0"/>
        <w:wordWrap/>
        <w:overflowPunct/>
        <w:topLinePunct w:val="0"/>
        <w:bidi w:val="0"/>
        <w:spacing w:before="91" w:line="360" w:lineRule="auto"/>
        <w:rPr>
          <w:rFonts w:ascii="Times New Roman" w:hAnsi="Times New Roman" w:eastAsia="宋体" w:cs="宋体"/>
          <w:spacing w:val="-11"/>
          <w:sz w:val="24"/>
          <w:szCs w:val="24"/>
        </w:rPr>
      </w:pPr>
      <w:r>
        <w:rPr>
          <w:rFonts w:ascii="Times New Roman" w:hAnsi="Times New Roman"/>
        </w:rPr>
        <w:drawing>
          <wp:inline distT="0" distB="0" distL="114300" distR="114300">
            <wp:extent cx="8886825" cy="1125220"/>
            <wp:effectExtent l="0" t="0" r="9525" b="17780"/>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pic:cNvPicPr>
                  </pic:nvPicPr>
                  <pic:blipFill>
                    <a:blip r:embed="rId30"/>
                    <a:stretch>
                      <a:fillRect/>
                    </a:stretch>
                  </pic:blipFill>
                  <pic:spPr>
                    <a:xfrm>
                      <a:off x="0" y="0"/>
                      <a:ext cx="8886825" cy="11252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11" w:name="_Toc26356"/>
      <w:r>
        <w:rPr>
          <w:rFonts w:hint="eastAsia" w:ascii="Times New Roman" w:hAnsi="Times New Roman" w:eastAsia="宋体" w:cstheme="minorBidi"/>
          <w:b/>
          <w:bCs/>
          <w:snapToGrid/>
          <w:kern w:val="2"/>
          <w:sz w:val="24"/>
          <w:szCs w:val="24"/>
        </w:rPr>
        <w:t>1.7 是否有地方政府对违规项目的认定或备案文件</w:t>
      </w:r>
      <w:bookmarkEnd w:id="1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如有，填“是”，并填写文号；如无，填“否”。</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12" w:name="_Toc18167"/>
      <w:r>
        <w:rPr>
          <w:rFonts w:hint="eastAsia" w:ascii="Times New Roman" w:hAnsi="Times New Roman" w:eastAsia="宋体" w:cstheme="minorBidi"/>
          <w:b/>
          <w:bCs/>
          <w:snapToGrid/>
          <w:kern w:val="2"/>
          <w:sz w:val="24"/>
          <w:szCs w:val="24"/>
        </w:rPr>
        <w:t>1.8 是否有主要污染物总量分配计划文件</w:t>
      </w:r>
      <w:bookmarkEnd w:id="1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若有污染物总量分配计划文件，则“是否有主要污染物总量分配计划文件”选“是”，并填写“总量分配计划文件文号”，有多个污染物总量分配计划文件的，应在“总量分配计划文件文号”一栏中填写完整，且需按照污染物总量分配计划文件补充填写污染物总量控制因子及数据，有多个污染物总量控制因子的，应点击“添加污染物”，逐个填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若无污染物总量分配计划文件，则“是否有主要污染物总量分配计划文件”选“否”。</w:t>
      </w:r>
    </w:p>
    <w:p>
      <w:pPr>
        <w:keepNext w:val="0"/>
        <w:keepLines w:val="0"/>
        <w:pageBreakBefore w:val="0"/>
        <w:wordWrap/>
        <w:overflowPunct/>
        <w:topLinePunct w:val="0"/>
        <w:bidi w:val="0"/>
        <w:spacing w:before="91" w:line="360" w:lineRule="auto"/>
        <w:rPr>
          <w:rFonts w:ascii="Times New Roman" w:hAnsi="Times New Roman" w:eastAsia="宋体" w:cs="宋体"/>
          <w:spacing w:val="-11"/>
          <w:sz w:val="24"/>
          <w:szCs w:val="24"/>
        </w:rPr>
      </w:pPr>
      <w:r>
        <w:rPr>
          <w:rFonts w:ascii="Times New Roman" w:hAnsi="Times New Roman"/>
        </w:rPr>
        <w:drawing>
          <wp:inline distT="0" distB="0" distL="114300" distR="114300">
            <wp:extent cx="8878570" cy="1993900"/>
            <wp:effectExtent l="0" t="0" r="17780" b="6350"/>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pic:cNvPicPr>
                      <a:picLocks noChangeAspect="1"/>
                    </pic:cNvPicPr>
                  </pic:nvPicPr>
                  <pic:blipFill>
                    <a:blip r:embed="rId31"/>
                    <a:stretch>
                      <a:fillRect/>
                    </a:stretch>
                  </pic:blipFill>
                  <pic:spPr>
                    <a:xfrm>
                      <a:off x="0" y="0"/>
                      <a:ext cx="8878570" cy="1993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13" w:name="_Toc27819"/>
      <w:r>
        <w:rPr>
          <w:rFonts w:hint="eastAsia" w:ascii="Times New Roman" w:hAnsi="Times New Roman" w:eastAsia="宋体" w:cstheme="minorBidi"/>
          <w:b/>
          <w:bCs/>
          <w:snapToGrid/>
          <w:kern w:val="2"/>
          <w:sz w:val="24"/>
          <w:szCs w:val="24"/>
        </w:rPr>
        <w:t>1.9 废气废水污染物控制指标</w:t>
      </w:r>
      <w:bookmarkEnd w:id="1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此处只填写除默认指标以外，且根据行业技术规范需要核定许可排放量的指标。默认大气污染物控制指标为二氧化硫，氮氧化物，颗粒物和挥发性有机物，其中颗粒物包括</w:t>
      </w:r>
      <w:r>
        <w:rPr>
          <w:rFonts w:hint="eastAsia" w:ascii="Times New Roman" w:hAnsi="Times New Roman" w:eastAsia="宋体" w:cstheme="minorBidi"/>
          <w:snapToGrid/>
          <w:kern w:val="2"/>
          <w:sz w:val="24"/>
          <w:szCs w:val="24"/>
          <w:lang w:val="en-US" w:eastAsia="zh-CN"/>
        </w:rPr>
        <w:t>颗粒物，</w:t>
      </w:r>
      <w:r>
        <w:rPr>
          <w:rFonts w:hint="eastAsia" w:ascii="Times New Roman" w:hAnsi="Times New Roman" w:eastAsia="宋体" w:cstheme="minorBidi"/>
          <w:snapToGrid/>
          <w:kern w:val="2"/>
          <w:sz w:val="24"/>
          <w:szCs w:val="24"/>
        </w:rPr>
        <w:t>可吸入颗粒物，烟尘和粉尘4种，默认水污染物控制指标为化学需氧量和氨氮。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若根据行业技术规范，不需核定许可排放量或者需核定许可排放量的指标属于默认指标的企业，此处不需要填写。</w:t>
      </w:r>
    </w:p>
    <w:p>
      <w:pPr>
        <w:keepNext w:val="0"/>
        <w:keepLines w:val="0"/>
        <w:pageBreakBefore w:val="0"/>
        <w:wordWrap/>
        <w:overflowPunct/>
        <w:topLinePunct w:val="0"/>
        <w:bidi w:val="0"/>
        <w:spacing w:line="360" w:lineRule="auto"/>
        <w:rPr>
          <w:rFonts w:ascii="Times New Roman" w:hAnsi="Times New Roman"/>
        </w:rPr>
      </w:pPr>
      <w:r>
        <w:rPr>
          <w:rFonts w:ascii="Times New Roman" w:hAnsi="Times New Roman"/>
        </w:rPr>
        <w:drawing>
          <wp:inline distT="0" distB="0" distL="114300" distR="114300">
            <wp:extent cx="8878570" cy="1097915"/>
            <wp:effectExtent l="0" t="0" r="17780" b="6985"/>
            <wp:docPr id="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pic:cNvPicPr>
                      <a:picLocks noChangeAspect="1"/>
                    </pic:cNvPicPr>
                  </pic:nvPicPr>
                  <pic:blipFill>
                    <a:blip r:embed="rId32"/>
                    <a:stretch>
                      <a:fillRect/>
                    </a:stretch>
                  </pic:blipFill>
                  <pic:spPr>
                    <a:xfrm>
                      <a:off x="0" y="0"/>
                      <a:ext cx="8878570" cy="1097915"/>
                    </a:xfrm>
                    <a:prstGeom prst="rect">
                      <a:avLst/>
                    </a:prstGeom>
                    <a:noFill/>
                    <a:ln>
                      <a:noFill/>
                    </a:ln>
                  </pic:spPr>
                </pic:pic>
              </a:graphicData>
            </a:graphic>
          </wp:inline>
        </w:drawing>
      </w:r>
    </w:p>
    <w:p>
      <w:pPr>
        <w:keepNext w:val="0"/>
        <w:keepLines w:val="0"/>
        <w:pageBreakBefore w:val="0"/>
        <w:wordWrap/>
        <w:overflowPunct/>
        <w:topLinePunct w:val="0"/>
        <w:bidi w:val="0"/>
        <w:spacing w:before="1" w:line="360" w:lineRule="auto"/>
        <w:ind w:firstLine="2"/>
        <w:textAlignment w:val="center"/>
        <w:rPr>
          <w:rFonts w:ascii="Times New Roman" w:hAnsi="Times New Roman"/>
        </w:rPr>
      </w:pPr>
    </w:p>
    <w:p>
      <w:pPr>
        <w:keepNext w:val="0"/>
        <w:keepLines w:val="0"/>
        <w:pageBreakBefore w:val="0"/>
        <w:wordWrap/>
        <w:overflowPunct/>
        <w:topLinePunct w:val="0"/>
        <w:bidi w:val="0"/>
        <w:spacing w:before="178" w:line="360" w:lineRule="auto"/>
        <w:ind w:firstLine="6892"/>
        <w:rPr>
          <w:rFonts w:ascii="Times New Roman" w:hAnsi="Times New Roman"/>
        </w:rPr>
      </w:pPr>
    </w:p>
    <w:p>
      <w:pPr>
        <w:keepNext w:val="0"/>
        <w:keepLines w:val="0"/>
        <w:pageBreakBefore w:val="0"/>
        <w:wordWrap/>
        <w:overflowPunct/>
        <w:topLinePunct w:val="0"/>
        <w:bidi w:val="0"/>
        <w:spacing w:before="178" w:line="360" w:lineRule="auto"/>
        <w:ind w:firstLine="6892"/>
        <w:rPr>
          <w:rFonts w:ascii="Times New Roman" w:hAnsi="Times New Roman"/>
        </w:rPr>
        <w:sectPr>
          <w:footerReference r:id="rId8" w:type="default"/>
          <w:pgSz w:w="16839" w:h="11907"/>
          <w:pgMar w:top="1012" w:right="1390" w:bottom="400" w:left="1452" w:header="0" w:footer="0" w:gutter="0"/>
          <w:pgNumType w:fmt="decimal"/>
          <w:cols w:space="720" w:num="1"/>
        </w:sectPr>
      </w:pPr>
    </w:p>
    <w:p>
      <w:pPr>
        <w:keepNext w:val="0"/>
        <w:keepLines w:val="0"/>
        <w:pageBreakBefore w:val="0"/>
        <w:wordWrap/>
        <w:overflowPunct/>
        <w:topLinePunct w:val="0"/>
        <w:bidi w:val="0"/>
        <w:spacing w:before="272" w:line="360" w:lineRule="auto"/>
        <w:ind w:firstLine="13"/>
        <w:outlineLvl w:val="1"/>
        <w:rPr>
          <w:rFonts w:hint="default" w:ascii="Times New Roman" w:hAnsi="Times New Roman" w:eastAsia="宋体" w:cs="宋体"/>
          <w:spacing w:val="-6"/>
          <w:sz w:val="28"/>
          <w:szCs w:val="28"/>
          <w:lang w:val="en-US" w:eastAsia="zh-CN"/>
          <w14:textOutline w14:w="5791" w14:cap="flat" w14:cmpd="sng" w14:algn="ctr">
            <w14:solidFill>
              <w14:srgbClr w14:val="000000"/>
            </w14:solidFill>
            <w14:prstDash w14:val="solid"/>
            <w14:miter w14:val="0"/>
          </w14:textOutline>
        </w:rPr>
      </w:pPr>
      <w:bookmarkStart w:id="14" w:name="_Toc15493"/>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2、排污单位登记信息-主要产品</w:t>
      </w:r>
      <w:r>
        <w:rPr>
          <w:rFonts w:hint="eastAsia" w:ascii="Times New Roman" w:hAnsi="Times New Roman" w:eastAsia="宋体" w:cs="宋体"/>
          <w:spacing w:val="-6"/>
          <w:sz w:val="28"/>
          <w:szCs w:val="28"/>
          <w:lang w:val="en-US" w:eastAsia="zh-CN"/>
          <w14:textOutline w14:w="5791" w14:cap="flat" w14:cmpd="sng" w14:algn="ctr">
            <w14:solidFill>
              <w14:srgbClr w14:val="000000"/>
            </w14:solidFill>
            <w14:prstDash w14:val="solid"/>
            <w14:miter w14:val="0"/>
          </w14:textOutline>
        </w:rPr>
        <w:t>及产能</w:t>
      </w:r>
      <w:bookmarkEnd w:id="14"/>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15" w:name="_Toc5003"/>
      <w:r>
        <w:rPr>
          <w:rFonts w:hint="eastAsia" w:ascii="Times New Roman" w:hAnsi="Times New Roman" w:eastAsia="宋体" w:cstheme="minorBidi"/>
          <w:b/>
          <w:bCs/>
          <w:snapToGrid/>
          <w:kern w:val="2"/>
          <w:sz w:val="24"/>
          <w:szCs w:val="24"/>
        </w:rPr>
        <w:t>2.1 行业类别</w:t>
      </w:r>
      <w:bookmarkEnd w:id="1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在填报“主要产品及产能”时，需选择所属行业类别，若本单位涉及多个行业，请分别对每个行业进行添加。</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16" w:name="_Toc24170"/>
      <w:r>
        <w:rPr>
          <w:rFonts w:hint="eastAsia" w:ascii="Times New Roman" w:hAnsi="Times New Roman" w:eastAsia="宋体" w:cstheme="minorBidi"/>
          <w:b/>
          <w:bCs/>
          <w:snapToGrid/>
          <w:kern w:val="2"/>
          <w:sz w:val="24"/>
          <w:szCs w:val="24"/>
        </w:rPr>
        <w:t>2.2 主要生产单元名称、主要工艺名称、生产设施名称</w:t>
      </w:r>
      <w:bookmarkEnd w:id="1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部分行业此表只能填写产品及产能，无法填写主要生产单元名称、主要工艺名称、生产设施名称等内容，此种情况应先在本表填写产品及产能，再在下一张表--“排污单位登记信息-</w:t>
      </w:r>
      <w:r>
        <w:rPr>
          <w:rFonts w:hint="eastAsia" w:ascii="Times New Roman" w:hAnsi="Times New Roman" w:eastAsia="宋体" w:cstheme="minorBidi"/>
          <w:snapToGrid/>
          <w:kern w:val="2"/>
          <w:sz w:val="24"/>
          <w:szCs w:val="24"/>
          <w:lang w:eastAsia="zh-CN"/>
        </w:rPr>
        <w:t>主要产品及产能补充</w:t>
      </w:r>
      <w:r>
        <w:rPr>
          <w:rFonts w:hint="eastAsia" w:ascii="Times New Roman" w:hAnsi="Times New Roman" w:eastAsia="宋体" w:cstheme="minorBidi"/>
          <w:snapToGrid/>
          <w:kern w:val="2"/>
          <w:sz w:val="24"/>
          <w:szCs w:val="24"/>
        </w:rPr>
        <w:t>”中填写</w:t>
      </w:r>
      <w:r>
        <w:rPr>
          <w:rFonts w:hint="eastAsia" w:ascii="Times New Roman" w:hAnsi="Times New Roman" w:eastAsia="宋体" w:cstheme="minorBidi"/>
          <w:snapToGrid/>
          <w:kern w:val="2"/>
          <w:sz w:val="24"/>
          <w:szCs w:val="24"/>
          <w:lang w:val="en-US" w:eastAsia="zh-CN"/>
        </w:rPr>
        <w:t>生产</w:t>
      </w:r>
      <w:r>
        <w:rPr>
          <w:rFonts w:hint="eastAsia" w:ascii="Times New Roman" w:hAnsi="Times New Roman" w:eastAsia="宋体" w:cstheme="minorBidi"/>
          <w:snapToGrid/>
          <w:kern w:val="2"/>
          <w:sz w:val="24"/>
          <w:szCs w:val="24"/>
        </w:rPr>
        <w:t>设施等信息。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对于在此表可以填写主要生产单元名称、主要工艺名称、生产设施名称等全部内容的行业企业，填写本表时需注意以下事项：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（1）应参照行业技术规范，对生产设施所属的生产单元、生产工艺进行归类填报。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（2）注意行业技术规范中是否有“必填项”、“选填项”设施分类填写要求。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（3）注意行业技术规范是否明确可以将同规格同参数的多台设施合并填报，如未明确，则应逐个设施单独填报。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（4）如有下拉菜单中未列出的设施，可采用自定义输入设施名称的方式填写，不可泛填“其他”。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（5）设施编号可填写企业内部设施编号，也可按照</w:t>
      </w:r>
      <w:r>
        <w:rPr>
          <w:rFonts w:hint="eastAsia" w:ascii="Times New Roman" w:hAnsi="Times New Roman" w:eastAsia="宋体" w:cstheme="minorBidi"/>
          <w:snapToGrid/>
          <w:kern w:val="2"/>
          <w:sz w:val="24"/>
          <w:szCs w:val="24"/>
          <w:lang w:eastAsia="zh-CN"/>
        </w:rPr>
        <w:t>《排污单位编码规则》（HJ608-2017）</w:t>
      </w:r>
      <w:r>
        <w:rPr>
          <w:rFonts w:hint="eastAsia" w:ascii="Times New Roman" w:hAnsi="Times New Roman" w:eastAsia="宋体" w:cstheme="minorBidi"/>
          <w:snapToGrid/>
          <w:kern w:val="2"/>
          <w:sz w:val="24"/>
          <w:szCs w:val="24"/>
        </w:rPr>
        <w:t>进行编号。</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17" w:name="_Toc25324"/>
      <w:r>
        <w:rPr>
          <w:rFonts w:hint="eastAsia" w:ascii="Times New Roman" w:hAnsi="Times New Roman" w:eastAsia="宋体" w:cstheme="minorBidi"/>
          <w:b/>
          <w:bCs/>
          <w:snapToGrid/>
          <w:kern w:val="2"/>
          <w:sz w:val="24"/>
          <w:szCs w:val="24"/>
        </w:rPr>
        <w:t>2.3 主要产品及产能</w:t>
      </w:r>
      <w:bookmarkEnd w:id="1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指相应工艺中主要产品设计产能，注意要与环评批复产能保持一致。</w:t>
      </w: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sectPr>
          <w:footerReference r:id="rId9" w:type="default"/>
          <w:pgSz w:w="11907" w:h="16839"/>
          <w:pgMar w:top="1431" w:right="918" w:bottom="1375" w:left="1143" w:header="0" w:footer="1260" w:gutter="0"/>
          <w:pgNumType w:fmt="decimal"/>
          <w:cols w:space="720" w:num="1"/>
        </w:sect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tbl>
      <w:tblPr>
        <w:tblStyle w:val="14"/>
        <w:tblW w:w="13927"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3927"/>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915" w:hRule="atLeast"/>
        </w:trPr>
        <w:tc>
          <w:tcPr>
            <w:tcW w:w="13927" w:type="dxa"/>
          </w:tcPr>
          <w:p>
            <w:pPr>
              <w:keepNext w:val="0"/>
              <w:keepLines w:val="0"/>
              <w:pageBreakBefore w:val="0"/>
              <w:wordWrap/>
              <w:overflowPunct/>
              <w:topLinePunct w:val="0"/>
              <w:bidi w:val="0"/>
              <w:spacing w:line="360" w:lineRule="auto"/>
              <w:textAlignment w:val="center"/>
              <w:rPr>
                <w:rFonts w:ascii="Times New Roman" w:hAnsi="Times New Roman"/>
              </w:rPr>
            </w:pPr>
            <w:r>
              <w:rPr>
                <w:rFonts w:ascii="Times New Roman" w:hAnsi="Times New Roman"/>
              </w:rPr>
              <w:pict>
                <v:group id="_x0000_s1048" o:spid="_x0000_s1048" o:spt="203" style="height:295.8pt;width:695.65pt;" coordsize="13913,5915">
                  <o:lock v:ext="edit"/>
                  <v:shape id="_x0000_s1049" o:spid="_x0000_s1049" o:spt="75" type="#_x0000_t75" style="position:absolute;left:0;top:0;height:5915;width:13913;" filled="f" o:preferrelative="t" stroked="f" coordsize="21600,21600">
                    <v:path/>
                    <v:fill on="f" focussize="0,0"/>
                    <v:stroke on="f" joinstyle="miter"/>
                    <v:imagedata r:id="rId33" o:title=""/>
                    <o:lock v:ext="edit" aspectratio="t"/>
                  </v:shape>
                  <v:shape id="_x0000_s1050" o:spid="_x0000_s1050" o:spt="202" type="#_x0000_t202" style="position:absolute;left:3876;top:2312;height:3467;width:6652;" filled="f" stroked="f" coordsize="21600,21600">
                    <v:path/>
                    <v:fill on="f" focussize="0,0"/>
                    <v:stroke on="f" joinstyle="miter"/>
                    <v:imagedata o:title=""/>
                    <o:lock v:ext="edit"/>
                    <v:textbox inset="0mm,0mm,0mm,0mm">
                      <w:txbxContent>
                        <w:p>
                          <w:pPr>
                            <w:spacing w:line="20" w:lineRule="exact"/>
                          </w:pPr>
                        </w:p>
                        <w:tbl>
                          <w:tblPr>
                            <w:tblStyle w:val="14"/>
                            <w:tblW w:w="6611" w:type="dxa"/>
                            <w:tblInd w:w="20" w:type="dxa"/>
                            <w:tblLayout w:type="fixed"/>
                            <w:tblCellMar>
                              <w:top w:w="0" w:type="dxa"/>
                              <w:left w:w="0" w:type="dxa"/>
                              <w:bottom w:w="0" w:type="dxa"/>
                              <w:right w:w="0" w:type="dxa"/>
                            </w:tblCellMar>
                          </w:tblPr>
                          <w:tblGrid>
                            <w:gridCol w:w="3942"/>
                            <w:gridCol w:w="2669"/>
                          </w:tblGrid>
                          <w:tr>
                            <w:tblPrEx>
                              <w:tblCellMar>
                                <w:top w:w="0" w:type="dxa"/>
                                <w:left w:w="0" w:type="dxa"/>
                                <w:bottom w:w="0" w:type="dxa"/>
                                <w:right w:w="0" w:type="dxa"/>
                              </w:tblCellMar>
                            </w:tblPrEx>
                            <w:trPr>
                              <w:trHeight w:val="987" w:hRule="atLeast"/>
                            </w:trPr>
                            <w:tc>
                              <w:tcPr>
                                <w:tcW w:w="3942" w:type="dxa"/>
                              </w:tcPr>
                              <w:tbl>
                                <w:tblPr>
                                  <w:tblStyle w:val="14"/>
                                  <w:tblW w:w="3465"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346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67" w:hRule="atLeast"/>
                                  </w:trPr>
                                  <w:tc>
                                    <w:tcPr>
                                      <w:tcW w:w="3465" w:type="dxa"/>
                                      <w:shd w:val="clear" w:color="auto" w:fill="FFFFFF"/>
                                    </w:tcPr>
                                    <w:p>
                                      <w:pPr>
                                        <w:spacing w:before="123" w:line="272" w:lineRule="auto"/>
                                        <w:ind w:left="152" w:right="140"/>
                                        <w:rPr>
                                          <w:rFonts w:ascii="宋体" w:hAnsi="宋体" w:eastAsia="宋体" w:cs="宋体"/>
                                        </w:rPr>
                                      </w:pPr>
                                      <w:r>
                                        <w:rPr>
                                          <w:rFonts w:hint="eastAsia" w:ascii="Times New Roman" w:hAnsi="Times New Roman" w:eastAsia="宋体"/>
                                          <w:b/>
                                          <w:bCs/>
                                          <w:color w:val="4F81BD" w:themeColor="accent1"/>
                                          <w14:textFill>
                                            <w14:solidFill>
                                              <w14:schemeClr w14:val="accent1"/>
                                            </w14:solidFill>
                                          </w14:textFill>
                                        </w:rPr>
                                        <w:t>生产单元、工艺、设施名称请对照技术规范，分类填写。</w:t>
                                      </w:r>
                                    </w:p>
                                  </w:tc>
                                </w:tr>
                              </w:tbl>
                              <w:p>
                                <w:pPr>
                                  <w:spacing w:line="190" w:lineRule="exact"/>
                                  <w:rPr>
                                    <w:rFonts w:ascii="宋体"/>
                                    <w:sz w:val="15"/>
                                  </w:rPr>
                                </w:pPr>
                              </w:p>
                            </w:tc>
                            <w:tc>
                              <w:tcPr>
                                <w:tcW w:w="2669" w:type="dxa"/>
                              </w:tcPr>
                              <w:p/>
                              <w:p/>
                              <w:p>
                                <w:pPr>
                                  <w:spacing w:line="19" w:lineRule="exact"/>
                                </w:pPr>
                              </w:p>
                              <w:tbl>
                                <w:tblPr>
                                  <w:tblStyle w:val="14"/>
                                  <w:tblW w:w="2192" w:type="dxa"/>
                                  <w:tblInd w:w="468"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19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53" w:hRule="atLeast"/>
                                  </w:trPr>
                                  <w:tc>
                                    <w:tcPr>
                                      <w:tcW w:w="2192" w:type="dxa"/>
                                      <w:shd w:val="clear" w:color="auto" w:fill="FFFFFF"/>
                                    </w:tcPr>
                                    <w:p>
                                      <w:pPr>
                                        <w:spacing w:before="120" w:line="186" w:lineRule="auto"/>
                                        <w:ind w:firstLine="156"/>
                                        <w:rPr>
                                          <w:rFonts w:ascii="宋体" w:hAnsi="宋体" w:eastAsia="宋体" w:cs="宋体"/>
                                        </w:rPr>
                                      </w:pPr>
                                      <w:r>
                                        <w:rPr>
                                          <w:rFonts w:hint="eastAsia" w:ascii="Times New Roman" w:hAnsi="Times New Roman" w:eastAsia="宋体"/>
                                          <w:b/>
                                          <w:bCs/>
                                          <w:color w:val="4F81BD" w:themeColor="accent1"/>
                                          <w14:textFill>
                                            <w14:solidFill>
                                              <w14:schemeClr w14:val="accent1"/>
                                            </w14:solidFill>
                                          </w14:textFill>
                                        </w:rPr>
                                        <w:t>设施参数不可不填</w:t>
                                      </w:r>
                                    </w:p>
                                  </w:tc>
                                </w:tr>
                              </w:tbl>
                              <w:p>
                                <w:pPr>
                                  <w:spacing w:line="14" w:lineRule="auto"/>
                                  <w:rPr>
                                    <w:rFonts w:ascii="宋体"/>
                                    <w:sz w:val="2"/>
                                  </w:rPr>
                                </w:pPr>
                              </w:p>
                            </w:tc>
                          </w:tr>
                        </w:tbl>
                        <w:p/>
                        <w:p/>
                        <w:p/>
                        <w:p/>
                        <w:p/>
                        <w:p/>
                        <w:p>
                          <w:pPr>
                            <w:spacing w:line="194" w:lineRule="exact"/>
                          </w:pPr>
                        </w:p>
                        <w:tbl>
                          <w:tblPr>
                            <w:tblStyle w:val="14"/>
                            <w:tblW w:w="2812" w:type="dxa"/>
                            <w:tblInd w:w="2355"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81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66" w:hRule="atLeast"/>
                            </w:trPr>
                            <w:tc>
                              <w:tcPr>
                                <w:tcW w:w="2812" w:type="dxa"/>
                                <w:shd w:val="clear" w:color="auto" w:fill="FFFFFF"/>
                              </w:tcPr>
                              <w:p>
                                <w:pPr>
                                  <w:spacing w:before="124" w:line="272" w:lineRule="auto"/>
                                  <w:ind w:left="158" w:right="142" w:hanging="4"/>
                                  <w:rPr>
                                    <w:rFonts w:ascii="宋体" w:hAnsi="宋体" w:eastAsia="宋体" w:cs="宋体"/>
                                  </w:rPr>
                                </w:pPr>
                                <w:r>
                                  <w:rPr>
                                    <w:rFonts w:hint="eastAsia" w:ascii="Times New Roman" w:hAnsi="Times New Roman" w:eastAsia="宋体"/>
                                    <w:b/>
                                    <w:bCs/>
                                    <w:color w:val="4F81BD" w:themeColor="accent1"/>
                                    <w14:textFill>
                                      <w14:solidFill>
                                        <w14:schemeClr w14:val="accent1"/>
                                      </w14:solidFill>
                                    </w14:textFill>
                                  </w:rPr>
                                  <w:t>可填内部编号，也可按照HJ608进行编号。</w:t>
                                </w:r>
                              </w:p>
                            </w:tc>
                          </w:tr>
                        </w:tbl>
                        <w:p>
                          <w:pPr>
                            <w:rPr>
                              <w:rFonts w:ascii="宋体"/>
                            </w:rPr>
                          </w:pPr>
                        </w:p>
                      </w:txbxContent>
                    </v:textbox>
                  </v:shape>
                  <w10:wrap type="none"/>
                  <w10:anchorlock/>
                </v:group>
              </w:pict>
            </w:r>
          </w:p>
        </w:tc>
      </w:tr>
    </w:tbl>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sectPr>
          <w:footerReference r:id="rId10" w:type="default"/>
          <w:pgSz w:w="16839" w:h="11907"/>
          <w:pgMar w:top="1012" w:right="1441" w:bottom="1375" w:left="1454" w:header="0" w:footer="1259" w:gutter="0"/>
          <w:pgNumType w:fmt="decimal"/>
          <w:cols w:space="720" w:num="1"/>
        </w:sectPr>
      </w:pPr>
    </w:p>
    <w:p>
      <w:pPr>
        <w:keepNext w:val="0"/>
        <w:keepLines w:val="0"/>
        <w:pageBreakBefore w:val="0"/>
        <w:wordWrap/>
        <w:overflowPunct/>
        <w:topLinePunct w:val="0"/>
        <w:bidi w:val="0"/>
        <w:spacing w:before="272" w:line="360" w:lineRule="auto"/>
        <w:ind w:firstLine="13"/>
        <w:outlineLvl w:val="1"/>
        <w:rPr>
          <w:rFonts w:hint="eastAsia" w:ascii="Times New Roman" w:hAnsi="Times New Roman" w:eastAsia="宋体" w:cs="宋体"/>
          <w:spacing w:val="-6"/>
          <w:sz w:val="28"/>
          <w:szCs w:val="28"/>
          <w:lang w:eastAsia="zh-CN"/>
          <w14:textOutline w14:w="5791" w14:cap="flat" w14:cmpd="sng" w14:algn="ctr">
            <w14:solidFill>
              <w14:srgbClr w14:val="000000"/>
            </w14:solidFill>
            <w14:prstDash w14:val="solid"/>
            <w14:miter w14:val="0"/>
          </w14:textOutline>
        </w:rPr>
      </w:pPr>
      <w:bookmarkStart w:id="18" w:name="_Toc26425"/>
      <w:r>
        <w:rPr>
          <w:rFonts w:hint="eastAsia"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3、排污单位登记信息-</w:t>
      </w:r>
      <w:r>
        <w:rPr>
          <w:rFonts w:hint="eastAsia" w:ascii="Times New Roman" w:hAnsi="Times New Roman" w:eastAsia="宋体" w:cs="宋体"/>
          <w:spacing w:val="-6"/>
          <w:sz w:val="28"/>
          <w:szCs w:val="28"/>
          <w:lang w:eastAsia="zh-CN"/>
          <w14:textOutline w14:w="5791" w14:cap="flat" w14:cmpd="sng" w14:algn="ctr">
            <w14:solidFill>
              <w14:srgbClr w14:val="000000"/>
            </w14:solidFill>
            <w14:prstDash w14:val="solid"/>
            <w14:miter w14:val="0"/>
          </w14:textOutline>
        </w:rPr>
        <w:t>主要产品及产能补充</w:t>
      </w:r>
      <w:bookmarkEnd w:id="1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对于在上一张表--“排污单位登记信息-主要产品及产能”表中，能填写主要生产单元名称、主要工艺名称、生产设施名称等全部内容的行业企业，本表无需填写，直接点击“下一步”。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对于在上一张表--“排污单位登记信息-主要产品及产能”表中，只能填写产品与产能，无法填写主要生产单元名称、主要工艺名称和生产设施名称等信息的行业企业，需填写本表。填写产品、工艺、设施等信息时需注意事项同上一张表--“排污单位登记信息-主要产品及产能”表。</w:t>
      </w:r>
    </w:p>
    <w:p>
      <w:pPr>
        <w:keepNext w:val="0"/>
        <w:keepLines w:val="0"/>
        <w:pageBreakBefore w:val="0"/>
        <w:wordWrap/>
        <w:overflowPunct/>
        <w:topLinePunct w:val="0"/>
        <w:bidi w:val="0"/>
        <w:spacing w:before="265" w:line="360" w:lineRule="auto"/>
        <w:ind w:firstLine="4"/>
        <w:textAlignment w:val="center"/>
        <w:rPr>
          <w:rFonts w:ascii="Times New Roman" w:hAnsi="Times New Roman"/>
        </w:rPr>
      </w:pPr>
      <w:r>
        <w:rPr>
          <w:rFonts w:ascii="Times New Roman" w:hAnsi="Times New Roman"/>
        </w:rPr>
        <w:drawing>
          <wp:inline distT="0" distB="0" distL="0" distR="0">
            <wp:extent cx="8938895" cy="241744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4"/>
                    <a:stretch>
                      <a:fillRect/>
                    </a:stretch>
                  </pic:blipFill>
                  <pic:spPr>
                    <a:xfrm>
                      <a:off x="0" y="0"/>
                      <a:ext cx="8939529" cy="2417445"/>
                    </a:xfrm>
                    <a:prstGeom prst="rect">
                      <a:avLst/>
                    </a:prstGeom>
                  </pic:spPr>
                </pic:pic>
              </a:graphicData>
            </a:graphic>
          </wp:inline>
        </w:drawing>
      </w:r>
    </w:p>
    <w:p>
      <w:pPr>
        <w:keepNext w:val="0"/>
        <w:keepLines w:val="0"/>
        <w:pageBreakBefore w:val="0"/>
        <w:wordWrap/>
        <w:overflowPunct/>
        <w:topLinePunct w:val="0"/>
        <w:bidi w:val="0"/>
        <w:spacing w:line="360" w:lineRule="auto"/>
        <w:rPr>
          <w:rFonts w:ascii="Times New Roman" w:hAnsi="Times New Roman"/>
        </w:rPr>
        <w:sectPr>
          <w:footerReference r:id="rId11" w:type="default"/>
          <w:pgSz w:w="16839" w:h="11907"/>
          <w:pgMar w:top="1012" w:right="1305" w:bottom="1374" w:left="1450" w:header="0" w:footer="1260" w:gutter="0"/>
          <w:pgNumType w:fmt="decimal"/>
          <w:cols w:space="720" w:num="1"/>
        </w:sectPr>
      </w:pPr>
    </w:p>
    <w:p>
      <w:pPr>
        <w:keepNext w:val="0"/>
        <w:keepLines w:val="0"/>
        <w:pageBreakBefore w:val="0"/>
        <w:wordWrap/>
        <w:overflowPunct/>
        <w:topLinePunct w:val="0"/>
        <w:bidi w:val="0"/>
        <w:spacing w:before="272" w:line="360" w:lineRule="auto"/>
        <w:ind w:firstLine="13"/>
        <w:outlineLvl w:val="1"/>
        <w:rPr>
          <w:rFonts w:hint="eastAsia" w:ascii="Times New Roman" w:hAnsi="Times New Roman" w:eastAsia="宋体" w:cs="宋体"/>
          <w:spacing w:val="-6"/>
          <w:sz w:val="28"/>
          <w:szCs w:val="28"/>
          <w:lang w:eastAsia="zh-CN"/>
          <w14:textOutline w14:w="5791" w14:cap="flat" w14:cmpd="sng" w14:algn="ctr">
            <w14:solidFill>
              <w14:srgbClr w14:val="000000"/>
            </w14:solidFill>
            <w14:prstDash w14:val="solid"/>
            <w14:miter w14:val="0"/>
          </w14:textOutline>
        </w:rPr>
      </w:pPr>
      <w:bookmarkStart w:id="19" w:name="_Toc8516"/>
      <w:r>
        <w:rPr>
          <w:rFonts w:hint="eastAsia" w:ascii="Times New Roman" w:hAnsi="Times New Roman" w:eastAsia="宋体" w:cs="宋体"/>
          <w:spacing w:val="-6"/>
          <w:sz w:val="28"/>
          <w:szCs w:val="28"/>
          <w:lang w:eastAsia="zh-CN"/>
          <w14:textOutline w14:w="5791" w14:cap="flat" w14:cmpd="sng" w14:algn="ctr">
            <w14:solidFill>
              <w14:srgbClr w14:val="000000"/>
            </w14:solidFill>
            <w14:prstDash w14:val="solid"/>
            <w14:miter w14:val="0"/>
          </w14:textOutline>
        </w:rPr>
        <w:t>4、排污单位登记信息-主要原辅材料及燃料</w:t>
      </w:r>
      <w:bookmarkEnd w:id="19"/>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20" w:name="_Toc26875"/>
      <w:r>
        <w:rPr>
          <w:rFonts w:hint="eastAsia" w:ascii="Times New Roman" w:hAnsi="Times New Roman" w:eastAsia="宋体" w:cstheme="minorBidi"/>
          <w:b/>
          <w:bCs/>
          <w:snapToGrid/>
          <w:kern w:val="2"/>
          <w:sz w:val="24"/>
          <w:szCs w:val="24"/>
        </w:rPr>
        <w:t>4.1 有毒有害成分及占比</w:t>
      </w:r>
      <w:bookmarkEnd w:id="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指有毒有害物质或元素，及其在原料或辅料中的成分占比。此内容各行业要求不同，具体请参照各行业技术规范说明。</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21" w:name="_Toc4160"/>
      <w:r>
        <w:rPr>
          <w:rFonts w:hint="eastAsia" w:ascii="Times New Roman" w:hAnsi="Times New Roman" w:eastAsia="宋体" w:cstheme="minorBidi"/>
          <w:b/>
          <w:bCs/>
          <w:snapToGrid/>
          <w:kern w:val="2"/>
          <w:sz w:val="24"/>
          <w:szCs w:val="24"/>
        </w:rPr>
        <w:t>4.2 原料及辅料种类及使用量</w:t>
      </w:r>
      <w:bookmarkEnd w:id="2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按各行业技术规范要求填报，注意设计年使用量和实际年使用量的区别，建议在“其他信息”栏备注所填数据来源。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系统下拉菜单中未列出的原料及辅料种类，可自定义输入原料及辅料名称。</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22" w:name="_Toc16226"/>
      <w:r>
        <w:rPr>
          <w:rFonts w:hint="eastAsia" w:ascii="Times New Roman" w:hAnsi="Times New Roman" w:eastAsia="宋体" w:cstheme="minorBidi"/>
          <w:b/>
          <w:bCs/>
          <w:snapToGrid/>
          <w:kern w:val="2"/>
          <w:sz w:val="24"/>
          <w:szCs w:val="24"/>
        </w:rPr>
        <w:t>4.3 燃料</w:t>
      </w:r>
      <w:bookmarkEnd w:id="2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注意燃料参数的填写，可联系燃料供应商提供燃料信息文件。</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23" w:name="_Toc8856"/>
      <w:r>
        <w:rPr>
          <w:rFonts w:hint="eastAsia" w:ascii="Times New Roman" w:hAnsi="Times New Roman" w:eastAsia="宋体" w:cstheme="minorBidi"/>
          <w:b/>
          <w:bCs/>
          <w:snapToGrid/>
          <w:kern w:val="2"/>
          <w:sz w:val="24"/>
          <w:szCs w:val="24"/>
        </w:rPr>
        <w:t>4.4 生产工艺流程图</w:t>
      </w:r>
      <w:bookmarkEnd w:id="2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（1）应包括主要生产设施（设备）、主要原燃料的流向、生产工艺流程等内容。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（2）上传文件格式应为图片格式，不超过5M，可上传多张图片。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（3）图件应清晰规范，不建议用手机拍摄电脑屏幕后上传手机照片。</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24" w:name="_Toc18641"/>
      <w:r>
        <w:rPr>
          <w:rFonts w:hint="eastAsia" w:ascii="Times New Roman" w:hAnsi="Times New Roman" w:eastAsia="宋体" w:cstheme="minorBidi"/>
          <w:b/>
          <w:bCs/>
          <w:snapToGrid/>
          <w:kern w:val="2"/>
          <w:sz w:val="24"/>
          <w:szCs w:val="24"/>
        </w:rPr>
        <w:t>4.5 生产厂区总平面布置图</w:t>
      </w:r>
      <w:bookmarkEnd w:id="2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（1）应包括主要工序、厂房、设备位置关系，注明厂区雨水、污水收集和运输走向等内容。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（2）上传文件格式应为图片格式，不超过5M，可上传多张图片。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（3）图件应清晰规范，不建议用手机拍摄电脑屏幕后上传手机照片。</w:t>
      </w: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sectPr>
          <w:footerReference r:id="rId12" w:type="default"/>
          <w:pgSz w:w="11907" w:h="16839"/>
          <w:pgMar w:top="1431" w:right="895" w:bottom="1374" w:left="1140" w:header="0" w:footer="1259" w:gutter="0"/>
          <w:pgNumType w:fmt="decimal"/>
          <w:cols w:space="720" w:num="1"/>
        </w:sectPr>
      </w:pPr>
    </w:p>
    <w:p>
      <w:pPr>
        <w:keepNext w:val="0"/>
        <w:keepLines w:val="0"/>
        <w:pageBreakBefore w:val="0"/>
        <w:wordWrap/>
        <w:overflowPunct/>
        <w:topLinePunct w:val="0"/>
        <w:bidi w:val="0"/>
        <w:spacing w:before="272" w:line="360" w:lineRule="auto"/>
        <w:ind w:firstLine="13"/>
        <w:outlineLvl w:val="1"/>
        <w:rPr>
          <w:rFonts w:hint="eastAsia" w:ascii="Times New Roman" w:hAnsi="Times New Roman" w:eastAsia="宋体" w:cs="宋体"/>
          <w:spacing w:val="-6"/>
          <w:sz w:val="28"/>
          <w:szCs w:val="28"/>
          <w14:textOutline w14:w="5791" w14:cap="flat" w14:cmpd="sng" w14:algn="ctr">
            <w14:solidFill>
              <w14:srgbClr w14:val="000000"/>
            </w14:solidFill>
            <w14:prstDash w14:val="solid"/>
            <w14:miter w14:val="0"/>
          </w14:textOutline>
        </w:rPr>
      </w:pPr>
      <w:bookmarkStart w:id="25" w:name="_Toc16777"/>
      <w:r>
        <w:rPr>
          <w:rFonts w:hint="eastAsia"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5、排污单位登记信息-排污节点及污染治理设施</w:t>
      </w:r>
      <w:bookmarkEnd w:id="25"/>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26" w:name="_Toc17513"/>
      <w:r>
        <w:rPr>
          <w:rFonts w:hint="eastAsia" w:ascii="Times New Roman" w:hAnsi="Times New Roman" w:eastAsia="宋体" w:cstheme="minorBidi"/>
          <w:b/>
          <w:bCs/>
          <w:snapToGrid/>
          <w:kern w:val="2"/>
          <w:sz w:val="24"/>
          <w:szCs w:val="24"/>
        </w:rPr>
        <w:t>（一）废气产排污节点、污染物及污染治理设施信息表</w:t>
      </w:r>
      <w:bookmarkEnd w:id="26"/>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5.1 产排污环节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对照技术规范，不能遗漏排污单位实际存在的有组织产排污环节；无组织产排污环节，在本表可不填写，但无组织管控标准、无组织监测等要求在后续表格中依然要按照技术规范填报。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5.2 废气污染物种类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rPr>
      </w:pPr>
      <w:r>
        <w:rPr>
          <w:rFonts w:hint="eastAsia" w:ascii="Times New Roman" w:hAnsi="Times New Roman" w:eastAsia="宋体" w:cstheme="minorBidi"/>
          <w:snapToGrid/>
          <w:kern w:val="2"/>
          <w:sz w:val="24"/>
          <w:szCs w:val="24"/>
        </w:rPr>
        <w:t>对照技术规范，污染物种类至少应包含技术规范中对应产排污节点列明的污染物，</w:t>
      </w:r>
      <w:r>
        <w:rPr>
          <w:rFonts w:hint="eastAsia" w:ascii="Times New Roman" w:hAnsi="Times New Roman" w:eastAsia="宋体" w:cstheme="minorBidi"/>
          <w:snapToGrid/>
          <w:kern w:val="2"/>
          <w:sz w:val="24"/>
          <w:szCs w:val="24"/>
          <w:lang w:val="en-US" w:eastAsia="zh-CN"/>
        </w:rPr>
        <w:t>若技术规范中未包含而排污单位实际会产生的污染物，也应补充添加。</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5.3 废气污染治理设施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（1）废气污染防治设施编号可用企业内部编号，也可编号TA001、TA002等。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（2）“是否为可行技术”需对照行业技术规范核实，若不属于可行技术，则应核实是否为环评批复的技术或者提供相关证明材料（如已有的监测数据），作为附件上传。</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Times New Roman" w:hAnsi="Times New Roman" w:eastAsia="宋体" w:cs="宋体"/>
          <w:b/>
          <w:bCs/>
          <w:spacing w:val="-11"/>
          <w:sz w:val="24"/>
          <w:szCs w:val="24"/>
        </w:rPr>
      </w:pPr>
      <w:r>
        <w:rPr>
          <w:rFonts w:hint="eastAsia" w:ascii="Times New Roman" w:hAnsi="Times New Roman" w:eastAsia="宋体" w:cstheme="minorBidi"/>
          <w:b/>
          <w:bCs/>
          <w:snapToGrid/>
          <w:kern w:val="2"/>
          <w:sz w:val="24"/>
          <w:szCs w:val="24"/>
        </w:rPr>
        <w:t>5.4 废气有组织排放口编号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有组织排放口编号可填写已有在线监测排放口编号或执法监测使用编号，若无相关编号可按照《固定污染源（水、大气）编码规则（试行）》中的排放口编码规则编写，如DA001、DA002等。建议填写现有排污口规范化的编号，并与许可证生成的编号做好对应记录，便于后期管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5.5 废气排放口设置是否符合要求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核实排放口设置是否符合排污口规范化整治技术要求等相关文件的规定，如不符合要求，应列明整改计划，并及时整改。</w:t>
      </w:r>
    </w:p>
    <w:p>
      <w:pPr>
        <w:keepNext w:val="0"/>
        <w:keepLines w:val="0"/>
        <w:pageBreakBefore w:val="0"/>
        <w:wordWrap/>
        <w:overflowPunct/>
        <w:topLinePunct w:val="0"/>
        <w:bidi w:val="0"/>
        <w:spacing w:before="91" w:line="360" w:lineRule="auto"/>
        <w:rPr>
          <w:rFonts w:ascii="Times New Roman" w:hAnsi="Times New Roman" w:eastAsia="宋体" w:cs="宋体"/>
          <w:b/>
          <w:bCs/>
          <w:spacing w:val="-11"/>
          <w:sz w:val="24"/>
          <w:szCs w:val="24"/>
        </w:rPr>
      </w:pPr>
      <w:r>
        <w:rPr>
          <w:rFonts w:ascii="Times New Roman" w:hAnsi="Times New Roman" w:eastAsia="宋体" w:cs="宋体"/>
          <w:b/>
          <w:bCs/>
          <w:spacing w:val="-11"/>
          <w:sz w:val="24"/>
          <w:szCs w:val="24"/>
        </w:rPr>
        <w:t>5.6</w:t>
      </w:r>
      <w:r>
        <w:rPr>
          <w:rFonts w:hint="eastAsia" w:ascii="Times New Roman" w:hAnsi="Times New Roman" w:eastAsia="宋体" w:cs="宋体"/>
          <w:b/>
          <w:bCs/>
          <w:spacing w:val="-11"/>
          <w:sz w:val="24"/>
          <w:szCs w:val="24"/>
        </w:rPr>
        <w:t xml:space="preserve"> </w:t>
      </w:r>
      <w:r>
        <w:rPr>
          <w:rFonts w:ascii="Times New Roman" w:hAnsi="Times New Roman" w:eastAsia="宋体" w:cs="宋体"/>
          <w:b/>
          <w:bCs/>
          <w:spacing w:val="-11"/>
          <w:sz w:val="24"/>
          <w:szCs w:val="24"/>
        </w:rPr>
        <w:t>废气排放口类型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按照各行业技术规范对大气排放口的分类标准来判断排放口类型（主要排放口、一般排放口）。</w:t>
      </w:r>
    </w:p>
    <w:p>
      <w:pPr>
        <w:keepNext w:val="0"/>
        <w:keepLines w:val="0"/>
        <w:pageBreakBefore w:val="0"/>
        <w:wordWrap/>
        <w:overflowPunct/>
        <w:topLinePunct w:val="0"/>
        <w:bidi w:val="0"/>
        <w:spacing w:before="91" w:line="360" w:lineRule="auto"/>
        <w:outlineLvl w:val="2"/>
        <w:rPr>
          <w:rFonts w:ascii="Times New Roman" w:hAnsi="Times New Roman" w:eastAsia="宋体" w:cs="宋体"/>
          <w:b/>
          <w:bCs/>
          <w:spacing w:val="-11"/>
          <w:sz w:val="24"/>
          <w:szCs w:val="24"/>
        </w:rPr>
      </w:pPr>
      <w:bookmarkStart w:id="27" w:name="_Toc10012"/>
      <w:r>
        <w:rPr>
          <w:rFonts w:ascii="Times New Roman" w:hAnsi="Times New Roman" w:eastAsia="宋体" w:cs="宋体"/>
          <w:b/>
          <w:bCs/>
          <w:spacing w:val="-11"/>
          <w:sz w:val="24"/>
          <w:szCs w:val="24"/>
        </w:rPr>
        <w:t>（二）废水类别、污染物及污染治理设施信息表</w:t>
      </w:r>
      <w:bookmarkEnd w:id="27"/>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5.7 废水类别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指产生废水的工艺、工序，或废水类型的名称，按各行业技术规范要求核实填报，不可漏填企业实际有的废水类别。</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5.8 废水污染物种类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对照技术规范，污染物种类至少应包含技术规范中对应废水类别列明的污染物，</w:t>
      </w:r>
      <w:r>
        <w:rPr>
          <w:rFonts w:hint="eastAsia" w:ascii="Times New Roman" w:hAnsi="Times New Roman" w:eastAsia="宋体" w:cstheme="minorBidi"/>
          <w:snapToGrid/>
          <w:kern w:val="2"/>
          <w:sz w:val="24"/>
          <w:szCs w:val="24"/>
          <w:lang w:val="en-US" w:eastAsia="zh-CN"/>
        </w:rPr>
        <w:t>若技术规范中未包含而排污单位实际会产生的污染物，也应补充添加</w:t>
      </w:r>
      <w:r>
        <w:rPr>
          <w:rFonts w:hint="eastAsia" w:ascii="Times New Roman" w:hAnsi="Times New Roman" w:eastAsia="宋体" w:cstheme="minorBidi"/>
          <w:snapToGrid/>
          <w:kern w:val="2"/>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5.9 废水污染治理设施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（1）废水污染防治设施编号可用企业内部编号，也可编号TW001、TW002等。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（2）“是否为可行技术”需对照行业技术规范核实，若不属于可行技术，则应核实是否为环评批复的技术或者提供相关证明材料（如已有监测数据），作为附件上传。</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5.10 废水排放去向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喷、回填、回灌、回用等）。对于工艺、工序产生的废水，“不外排”指全部在工序内部循环使用，“排至厂内综合污水处理站”指工序废水经处理后排至综合处理站。对于综合污水处理站，“不外排”指全厂废水经处理后全部回用不排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5.11 废水排放口编号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废水排放口编号可填写已有在线监测排放口编号或执法监测使用编号，若无相关编号可按照《固定污染源（水、大气）编码规则（试行）》中的排放口编码规则编写，如DW001、DW002等。建议填写现有排污口规范化的编号，并与许可证生成的编号做好对应记录，便于后期管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5.12 废水排放口设置是否符合要求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核实废水排放口设置是否符合排污口规范化整治技术要求等相关文件的规定，如不符合要求，应列明整改计划，并及时整改。</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5.13 排放口类型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按照各行业技术规范对废水排放口的分类标准判断排放口类型（主要排放口、车间排放口、一般排放口）。</w:t>
      </w:r>
    </w:p>
    <w:p>
      <w:pPr>
        <w:keepNext w:val="0"/>
        <w:keepLines w:val="0"/>
        <w:pageBreakBefore w:val="0"/>
        <w:wordWrap/>
        <w:overflowPunct/>
        <w:topLinePunct w:val="0"/>
        <w:bidi w:val="0"/>
        <w:spacing w:line="360" w:lineRule="auto"/>
        <w:rPr>
          <w:rFonts w:ascii="Times New Roman" w:hAnsi="Times New Roman" w:eastAsia="宋体" w:cs="宋体"/>
          <w:spacing w:val="-11"/>
          <w:sz w:val="24"/>
          <w:szCs w:val="24"/>
        </w:rPr>
      </w:pPr>
      <w:r>
        <w:rPr>
          <w:rFonts w:ascii="Times New Roman" w:hAnsi="Times New Roman" w:eastAsia="宋体" w:cs="宋体"/>
          <w:spacing w:val="-11"/>
          <w:sz w:val="24"/>
          <w:szCs w:val="24"/>
        </w:rPr>
        <w:br w:type="page"/>
      </w: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pPr>
      <w:bookmarkStart w:id="28" w:name="_Toc26045"/>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6、大气污染物排放信息-排放口</w:t>
      </w:r>
      <w:bookmarkEnd w:id="28"/>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29" w:name="_Toc15263"/>
      <w:r>
        <w:rPr>
          <w:rFonts w:hint="eastAsia" w:ascii="Times New Roman" w:hAnsi="Times New Roman" w:eastAsia="宋体" w:cstheme="minorBidi"/>
          <w:b/>
          <w:bCs/>
          <w:snapToGrid/>
          <w:kern w:val="2"/>
          <w:sz w:val="24"/>
          <w:szCs w:val="24"/>
        </w:rPr>
        <w:t>（一）大气排放口基本情况表</w:t>
      </w:r>
      <w:bookmarkEnd w:id="2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b/>
          <w:bCs/>
          <w:snapToGrid/>
          <w:kern w:val="2"/>
          <w:sz w:val="24"/>
          <w:szCs w:val="24"/>
        </w:rPr>
        <w:t>6.1 排放口地理坐标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指排气筒所在地经纬度坐标，可通过点击“选择”按钮在GIS地图中点选后自动生成。操作同“排污单位基本信息”表中“生产经营场所中心经度”/“生产经营场所中心纬度”拾取方式。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6.2 排气筒出口内径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对于不规则形状排气筒，填写等效内径。</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6.3 锅炉排放口基本情况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锅炉排污单位填写本表时，请点击显示为蓝色的排放口编号按钮完成基准烟气量的计算。</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6.4 其他信息栏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有条件的，建议在“其他信息”一栏填入底基高度（m）、排气速率（m/s）、烟囱是否有上盖等信息。</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30" w:name="_Toc29400"/>
      <w:r>
        <w:rPr>
          <w:rFonts w:hint="eastAsia" w:ascii="Times New Roman" w:hAnsi="Times New Roman" w:eastAsia="宋体" w:cstheme="minorBidi"/>
          <w:b/>
          <w:bCs/>
          <w:snapToGrid/>
          <w:kern w:val="2"/>
          <w:sz w:val="24"/>
          <w:szCs w:val="24"/>
        </w:rPr>
        <w:t>（二）废气污染物排放执行标准信息表</w:t>
      </w:r>
      <w:bookmarkEnd w:id="30"/>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b/>
          <w:bCs/>
          <w:snapToGrid/>
          <w:kern w:val="2"/>
          <w:sz w:val="24"/>
          <w:szCs w:val="24"/>
        </w:rPr>
        <w:t>6.5 排放口编号、排放口名称、污染物种类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为系统根据产排污节点表中填报内容自动生成。</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6.6 国家或地方污染物排放标准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填写对应排放口须执行的国家或地方污染物排放标准的名称、标准号及浓度限值。注意国标与地标、综合排放标准与行业排放标准等标准的取舍。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6.7 环境影响评价批复要求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填写企业的项目环评文件批复中确定的许可排放浓度和速率限值，应以数值+单位的形式填报。如批复的限值为某个国标或地标中的限值，则在“其他信息”中注明该标准名称及标准号；如执行标准对应有多个限值，则在“其他信息”中备注是执行哪个限值；如批复中无明确限值，则填“/”。</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6.8 承诺更加严格排放限值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z w:val="28"/>
          <w:szCs w:val="28"/>
        </w:rPr>
      </w:pPr>
      <w:r>
        <w:rPr>
          <w:rFonts w:hint="eastAsia" w:ascii="Times New Roman" w:hAnsi="Times New Roman" w:eastAsia="宋体" w:cstheme="minorBidi"/>
          <w:snapToGrid/>
          <w:kern w:val="2"/>
          <w:sz w:val="24"/>
          <w:szCs w:val="24"/>
        </w:rPr>
        <w:t>如有，则应以数值+单位的形式填报；如无，填“/”</w:t>
      </w:r>
      <w:r>
        <w:rPr>
          <w:rFonts w:ascii="Times New Roman" w:hAnsi="Times New Roman" w:eastAsia="宋体" w:cs="宋体"/>
          <w:spacing w:val="-11"/>
          <w:sz w:val="24"/>
          <w:szCs w:val="24"/>
        </w:rPr>
        <w:t>。</w:t>
      </w:r>
    </w:p>
    <w:p>
      <w:pPr>
        <w:keepNext w:val="0"/>
        <w:keepLines w:val="0"/>
        <w:pageBreakBefore w:val="0"/>
        <w:wordWrap/>
        <w:overflowPunct/>
        <w:topLinePunct w:val="0"/>
        <w:bidi w:val="0"/>
        <w:spacing w:line="360" w:lineRule="auto"/>
        <w:rPr>
          <w:rFonts w:ascii="Times New Roman" w:hAnsi="Times New Roman"/>
        </w:rPr>
        <w:sectPr>
          <w:footerReference r:id="rId13" w:type="default"/>
          <w:pgSz w:w="11907" w:h="16839"/>
          <w:pgMar w:top="1431" w:right="1135" w:bottom="1375" w:left="1142" w:header="0" w:footer="1259" w:gutter="0"/>
          <w:pgNumType w:fmt="decimal"/>
          <w:cols w:space="720" w:num="1"/>
        </w:sectPr>
      </w:pPr>
    </w:p>
    <w:p>
      <w:pPr>
        <w:keepNext w:val="0"/>
        <w:keepLines w:val="0"/>
        <w:pageBreakBefore w:val="0"/>
        <w:wordWrap/>
        <w:overflowPunct/>
        <w:topLinePunct w:val="0"/>
        <w:bidi w:val="0"/>
        <w:spacing w:before="272" w:line="360" w:lineRule="auto"/>
        <w:ind w:firstLine="13"/>
        <w:outlineLvl w:val="1"/>
        <w:rPr>
          <w:rFonts w:hint="eastAsia" w:ascii="Times New Roman" w:hAnsi="Times New Roman" w:eastAsia="宋体" w:cs="宋体"/>
          <w:spacing w:val="-6"/>
          <w:sz w:val="28"/>
          <w:szCs w:val="28"/>
          <w:lang w:val="en-US" w:eastAsia="zh-CN"/>
          <w14:textOutline w14:w="5791" w14:cap="flat" w14:cmpd="sng" w14:algn="ctr">
            <w14:solidFill>
              <w14:srgbClr w14:val="000000"/>
            </w14:solidFill>
            <w14:prstDash w14:val="solid"/>
            <w14:miter w14:val="0"/>
          </w14:textOutline>
        </w:rPr>
      </w:pPr>
      <w:bookmarkStart w:id="31" w:name="_Toc6146"/>
      <w:r>
        <w:rPr>
          <w:rFonts w:hint="eastAsia" w:ascii="Times New Roman" w:hAnsi="Times New Roman" w:eastAsia="宋体" w:cs="宋体"/>
          <w:spacing w:val="-6"/>
          <w:sz w:val="28"/>
          <w:szCs w:val="28"/>
          <w:lang w:val="en-US" w:eastAsia="zh-CN"/>
          <w14:textOutline w14:w="5791" w14:cap="flat" w14:cmpd="sng" w14:algn="ctr">
            <w14:solidFill>
              <w14:srgbClr w14:val="000000"/>
            </w14:solidFill>
            <w14:prstDash w14:val="solid"/>
            <w14:miter w14:val="0"/>
          </w14:textOutline>
        </w:rPr>
        <w:t>7、大气污染物排放信息-有组织排放信息</w:t>
      </w:r>
      <w:bookmarkEnd w:id="31"/>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heme="minorBidi"/>
          <w:b/>
          <w:bCs/>
          <w:snapToGrid/>
          <w:kern w:val="2"/>
          <w:sz w:val="24"/>
          <w:szCs w:val="24"/>
        </w:rPr>
      </w:pPr>
      <w:r>
        <w:rPr>
          <w:rFonts w:hint="eastAsia" w:ascii="Times New Roman" w:hAnsi="Times New Roman" w:eastAsia="宋体" w:cstheme="minorBidi"/>
          <w:b/>
          <w:bCs/>
          <w:snapToGrid/>
          <w:kern w:val="2"/>
          <w:sz w:val="24"/>
          <w:szCs w:val="24"/>
        </w:rPr>
        <w:t>7.1 大气污染物有组织排放污染物许可排放量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按照行业技术规范要求，无需计算污染物许可排放量的行业企业，则无论环评或省版许可证中是否有总量指标，本表中“申请年许可排放量限值”、“申请特殊时段许可排放量限值”都统一填写“/”。是否需申报许可排放量以各行业的排污许可申请与核发技术规范规定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rPr>
      </w:pPr>
      <w:r>
        <w:rPr>
          <w:rFonts w:hint="eastAsia" w:ascii="Times New Roman" w:hAnsi="Times New Roman" w:eastAsia="宋体" w:cstheme="minorBidi"/>
          <w:snapToGrid/>
          <w:kern w:val="2"/>
          <w:sz w:val="24"/>
          <w:szCs w:val="24"/>
        </w:rPr>
        <w:t>（2）按照行业技术规范要求，需计算污染物许可排放量的行业企业，</w:t>
      </w:r>
      <w:r>
        <w:rPr>
          <w:rFonts w:hint="eastAsia" w:ascii="Times New Roman" w:hAnsi="Times New Roman" w:eastAsia="宋体" w:cstheme="minorBidi"/>
          <w:snapToGrid/>
          <w:kern w:val="2"/>
          <w:sz w:val="24"/>
          <w:szCs w:val="24"/>
          <w:lang w:val="en-US" w:eastAsia="zh-CN"/>
        </w:rPr>
        <w:t>要依据总量控制指标及技术规范中规定的方法从严确定许可排放量，2015年1月1日（含）后取得环境影响评价审批意见的排污单位，许可排放量还应同时满足环境影响评价文件和审批意见要求。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宋体"/>
          <w:spacing w:val="-11"/>
          <w:sz w:val="24"/>
          <w:szCs w:val="24"/>
          <w:lang w:val="en-US" w:eastAsia="zh-CN"/>
        </w:rPr>
      </w:pPr>
      <w:r>
        <w:rPr>
          <w:rFonts w:hint="eastAsia" w:ascii="Times New Roman" w:hAnsi="Times New Roman" w:eastAsia="宋体" w:cstheme="minorBidi"/>
          <w:snapToGrid/>
          <w:kern w:val="2"/>
          <w:sz w:val="24"/>
          <w:szCs w:val="24"/>
          <w:lang w:val="en-US" w:eastAsia="zh-CN"/>
        </w:rPr>
        <w:t>总量控制指标包括地方政府或生态环境主管部门发文确定的排污单位总量控制指标、环境影响评价审批文件中的总量控制指标、现有排污许可证中载明的总量控制指标、通过排污权有偿使用和交易确定的总量控制指标等地方政府或生态环境主管部门与排污许可证申领排污单位以一定形式确认的总量控制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申请年排放量限值计算过程：（包括方法、公式、参数选取过程，以及计算结果的描述等内容）”，这一栏可填“计算过程详见附件”，然后在“相关附件”中添加年排放量具体计算和确定过程。计算过程的模板可参考本指南的“附件</w:t>
      </w:r>
      <w:r>
        <w:rPr>
          <w:rFonts w:hint="eastAsia" w:ascii="Times New Roman" w:hAnsi="Times New Roman" w:eastAsia="宋体" w:cstheme="minorBidi"/>
          <w:snapToGrid/>
          <w:kern w:val="2"/>
          <w:sz w:val="24"/>
          <w:szCs w:val="24"/>
          <w:lang w:val="en-US" w:eastAsia="zh-CN"/>
        </w:rPr>
        <w:t>一  废气</w:t>
      </w:r>
      <w:r>
        <w:rPr>
          <w:rFonts w:hint="eastAsia" w:ascii="Times New Roman" w:hAnsi="Times New Roman" w:eastAsia="宋体" w:cstheme="minorBidi"/>
          <w:snapToGrid/>
          <w:kern w:val="2"/>
          <w:sz w:val="24"/>
          <w:szCs w:val="24"/>
        </w:rPr>
        <w:t>许可排放量计算模板”。</w:t>
      </w:r>
    </w:p>
    <w:p>
      <w:pPr>
        <w:keepNext w:val="0"/>
        <w:keepLines w:val="0"/>
        <w:pageBreakBefore w:val="0"/>
        <w:wordWrap/>
        <w:overflowPunct/>
        <w:topLinePunct w:val="0"/>
        <w:bidi w:val="0"/>
        <w:spacing w:before="91" w:line="360" w:lineRule="auto"/>
        <w:rPr>
          <w:rFonts w:ascii="Times New Roman" w:hAnsi="Times New Roman" w:eastAsia="宋体" w:cs="宋体"/>
          <w:spacing w:val="-11"/>
          <w:sz w:val="24"/>
          <w:szCs w:val="24"/>
        </w:rPr>
      </w:pPr>
    </w:p>
    <w:p>
      <w:pPr>
        <w:keepNext w:val="0"/>
        <w:keepLines w:val="0"/>
        <w:pageBreakBefore w:val="0"/>
        <w:wordWrap/>
        <w:overflowPunct/>
        <w:topLinePunct w:val="0"/>
        <w:bidi w:val="0"/>
        <w:spacing w:line="360" w:lineRule="auto"/>
        <w:rPr>
          <w:rFonts w:ascii="Times New Roman" w:hAnsi="Times New Roman" w:eastAsia="宋体" w:cs="宋体"/>
          <w:spacing w:val="-11"/>
          <w:sz w:val="24"/>
          <w:szCs w:val="24"/>
        </w:rPr>
      </w:pPr>
      <w:r>
        <w:rPr>
          <w:rFonts w:ascii="Times New Roman" w:hAnsi="Times New Roman" w:eastAsia="宋体" w:cs="宋体"/>
          <w:spacing w:val="-11"/>
          <w:sz w:val="24"/>
          <w:szCs w:val="24"/>
        </w:rPr>
        <w:br w:type="page"/>
      </w: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pPr>
      <w:bookmarkStart w:id="32" w:name="_Toc10165"/>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8、大气污染物排放信息-无组织排放信息</w:t>
      </w:r>
      <w:bookmarkEnd w:id="32"/>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33" w:name="_Toc7154"/>
      <w:r>
        <w:rPr>
          <w:rFonts w:hint="eastAsia" w:ascii="Times New Roman" w:hAnsi="Times New Roman" w:eastAsia="宋体" w:cstheme="minorBidi"/>
          <w:b/>
          <w:bCs/>
          <w:snapToGrid/>
          <w:kern w:val="2"/>
          <w:sz w:val="24"/>
          <w:szCs w:val="24"/>
        </w:rPr>
        <w:t>8.1 大气污染物无组织排放信息表</w:t>
      </w:r>
      <w:bookmarkEnd w:id="3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3"/>
          <w:sz w:val="28"/>
          <w:szCs w:val="28"/>
        </w:rPr>
      </w:pPr>
      <w:r>
        <w:rPr>
          <w:rFonts w:hint="eastAsia" w:ascii="Times New Roman" w:hAnsi="Times New Roman" w:eastAsia="宋体" w:cstheme="minorBidi"/>
          <w:snapToGrid/>
          <w:kern w:val="2"/>
          <w:sz w:val="24"/>
          <w:szCs w:val="24"/>
        </w:rPr>
        <w:t>（1）部分行业可能需对生产单元或厂界无组织排放监测浓度进行管控，可在此表中直接添加，在“生产设施编号/无组织排放编号”处选择具体生产单元或“厂界”。</w:t>
      </w:r>
    </w:p>
    <w:p>
      <w:pPr>
        <w:keepNext w:val="0"/>
        <w:keepLines w:val="0"/>
        <w:pageBreakBefore w:val="0"/>
        <w:wordWrap/>
        <w:overflowPunct/>
        <w:topLinePunct w:val="0"/>
        <w:bidi w:val="0"/>
        <w:spacing w:before="91" w:line="360" w:lineRule="auto"/>
        <w:rPr>
          <w:rFonts w:ascii="Times New Roman" w:hAnsi="Times New Roman" w:eastAsia="宋体" w:cs="宋体"/>
          <w:spacing w:val="-3"/>
          <w:sz w:val="28"/>
          <w:szCs w:val="28"/>
        </w:rPr>
      </w:pPr>
      <w:r>
        <w:rPr>
          <w:rFonts w:ascii="Times New Roman" w:hAnsi="Times New Roman"/>
        </w:rPr>
        <w:drawing>
          <wp:inline distT="0" distB="0" distL="114300" distR="114300">
            <wp:extent cx="6121400" cy="3650615"/>
            <wp:effectExtent l="0" t="0" r="12700" b="6985"/>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35"/>
                    <a:stretch>
                      <a:fillRect/>
                    </a:stretch>
                  </pic:blipFill>
                  <pic:spPr>
                    <a:xfrm>
                      <a:off x="0" y="0"/>
                      <a:ext cx="6121400" cy="3650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（2）“国家或地方污染物排放标准”应选取相应的无组织浓度标准。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34" w:name="_Toc12907"/>
      <w:r>
        <w:rPr>
          <w:rFonts w:hint="eastAsia" w:ascii="Times New Roman" w:hAnsi="Times New Roman" w:eastAsia="宋体" w:cstheme="minorBidi"/>
          <w:b/>
          <w:bCs/>
          <w:snapToGrid/>
          <w:kern w:val="2"/>
          <w:sz w:val="24"/>
          <w:szCs w:val="24"/>
        </w:rPr>
        <w:t>8.2 无组织许可排放量</w:t>
      </w:r>
      <w:bookmarkEnd w:id="3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根据已核发行业的经验，“无组织排放”大多不核定许可排放量；少数行业无组织排放仍需核定许可排放量；具体规定见各行业申报技术规范。“年许可排放量限值（t/a）”填报方法和相关要求与有组织排放口的一致。</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35" w:name="_Toc15843"/>
      <w:r>
        <w:rPr>
          <w:rFonts w:hint="eastAsia" w:ascii="Times New Roman" w:hAnsi="Times New Roman" w:eastAsia="宋体" w:cstheme="minorBidi"/>
          <w:b/>
          <w:bCs/>
          <w:snapToGrid/>
          <w:kern w:val="2"/>
          <w:sz w:val="24"/>
          <w:szCs w:val="24"/>
        </w:rPr>
        <w:t>8.3 无组织排放控制要求</w:t>
      </w:r>
      <w:bookmarkEnd w:id="3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无组织防治措施”应按照技术规范中无组织排放控制要求逐一核实。若存在该无组织产污环节并已实现该无组织排放控制要求或相类似控制要求的，则填具体的控制措施；若存在该产污环节但没实现该无组织排放控制要求的，则填“未实现该排放控制要求”，并进行说明，承诺改正措施及改正期限；若不存在该产污环节则填“无该产污环节”。</w:t>
      </w:r>
    </w:p>
    <w:p>
      <w:pPr>
        <w:keepNext w:val="0"/>
        <w:keepLines w:val="0"/>
        <w:pageBreakBefore w:val="0"/>
        <w:wordWrap/>
        <w:overflowPunct/>
        <w:topLinePunct w:val="0"/>
        <w:bidi w:val="0"/>
        <w:spacing w:line="360" w:lineRule="auto"/>
        <w:rPr>
          <w:rFonts w:ascii="Times New Roman" w:hAnsi="Times New Roman"/>
        </w:rPr>
      </w:pPr>
      <w:r>
        <w:rPr>
          <w:rFonts w:ascii="Times New Roman" w:hAnsi="Times New Roman"/>
        </w:rPr>
        <w:drawing>
          <wp:inline distT="0" distB="0" distL="0" distR="0">
            <wp:extent cx="6014720" cy="2801620"/>
            <wp:effectExtent l="0" t="0" r="5080" b="1778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6"/>
                    <a:stretch>
                      <a:fillRect/>
                    </a:stretch>
                  </pic:blipFill>
                  <pic:spPr>
                    <a:xfrm>
                      <a:off x="0" y="0"/>
                      <a:ext cx="6015354" cy="2802001"/>
                    </a:xfrm>
                    <a:prstGeom prst="rect">
                      <a:avLst/>
                    </a:prstGeom>
                  </pic:spPr>
                </pic:pic>
              </a:graphicData>
            </a:graphic>
          </wp:inline>
        </w:drawing>
      </w:r>
    </w:p>
    <w:p>
      <w:pPr>
        <w:keepNext w:val="0"/>
        <w:keepLines w:val="0"/>
        <w:pageBreakBefore w:val="0"/>
        <w:wordWrap/>
        <w:overflowPunct/>
        <w:topLinePunct w:val="0"/>
        <w:bidi w:val="0"/>
        <w:spacing w:line="360" w:lineRule="auto"/>
        <w:rPr>
          <w:rFonts w:ascii="Times New Roman" w:hAnsi="Times New Roman" w:eastAsia="Cambria" w:cs="Cambria"/>
          <w:b/>
          <w:bCs/>
          <w:sz w:val="32"/>
          <w:szCs w:val="32"/>
        </w:rPr>
      </w:pPr>
      <w:r>
        <w:rPr>
          <w:rFonts w:ascii="Times New Roman" w:hAnsi="Times New Roman" w:eastAsia="Cambria" w:cs="Cambria"/>
          <w:b/>
          <w:bCs/>
          <w:sz w:val="32"/>
          <w:szCs w:val="32"/>
        </w:rPr>
        <w:br w:type="page"/>
      </w: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pPr>
      <w:bookmarkStart w:id="36" w:name="_Toc30085"/>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9、大气污染物排放信息-企业大气排放总许可量</w:t>
      </w:r>
      <w:bookmarkEnd w:id="36"/>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37" w:name="_Toc11377"/>
      <w:r>
        <w:rPr>
          <w:rFonts w:hint="eastAsia" w:ascii="Times New Roman" w:hAnsi="Times New Roman" w:eastAsia="宋体" w:cstheme="minorBidi"/>
          <w:b/>
          <w:bCs/>
          <w:snapToGrid/>
          <w:kern w:val="2"/>
          <w:sz w:val="24"/>
          <w:szCs w:val="24"/>
        </w:rPr>
        <w:t>9.1 是否需要按月细化</w:t>
      </w:r>
      <w:bookmarkEnd w:id="3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选“否”。</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38" w:name="_Toc27241"/>
      <w:r>
        <w:rPr>
          <w:rFonts w:hint="eastAsia" w:ascii="Times New Roman" w:hAnsi="Times New Roman" w:eastAsia="宋体" w:cstheme="minorBidi"/>
          <w:b/>
          <w:bCs/>
          <w:snapToGrid/>
          <w:kern w:val="2"/>
          <w:sz w:val="24"/>
          <w:szCs w:val="24"/>
        </w:rPr>
        <w:t>9.2 企业大气排放总许可量</w:t>
      </w:r>
      <w:bookmarkEnd w:id="3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全厂合计（t/a）”为有组织排放及无组织排放许可排放量之和，由系统自动加和。若取严结果不是根据技术规范技术的计算方法的测算结果，此时应将取严结果填入表中，按“下一步”后依据提示操作，系统会自动将取严后的总许可排放量自动分配到各排放口。</w:t>
      </w:r>
    </w:p>
    <w:p>
      <w:pPr>
        <w:keepNext w:val="0"/>
        <w:keepLines w:val="0"/>
        <w:pageBreakBefore w:val="0"/>
        <w:wordWrap/>
        <w:overflowPunct/>
        <w:topLinePunct w:val="0"/>
        <w:bidi w:val="0"/>
        <w:spacing w:line="360" w:lineRule="auto"/>
        <w:rPr>
          <w:rFonts w:ascii="Times New Roman" w:hAnsi="Times New Roman"/>
        </w:rPr>
      </w:pPr>
      <w:r>
        <w:rPr>
          <w:rFonts w:ascii="Times New Roman" w:hAnsi="Times New Roman"/>
        </w:rPr>
        <w:drawing>
          <wp:inline distT="0" distB="0" distL="0" distR="0">
            <wp:extent cx="5991860" cy="2357120"/>
            <wp:effectExtent l="0" t="0" r="8890" b="508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37"/>
                    <a:stretch>
                      <a:fillRect/>
                    </a:stretch>
                  </pic:blipFill>
                  <pic:spPr>
                    <a:xfrm>
                      <a:off x="0" y="0"/>
                      <a:ext cx="5991986" cy="2357754"/>
                    </a:xfrm>
                    <a:prstGeom prst="rect">
                      <a:avLst/>
                    </a:prstGeom>
                  </pic:spPr>
                </pic:pic>
              </a:graphicData>
            </a:graphic>
          </wp:inline>
        </w:drawing>
      </w:r>
    </w:p>
    <w:p>
      <w:pPr>
        <w:keepNext w:val="0"/>
        <w:keepLines w:val="0"/>
        <w:pageBreakBefore w:val="0"/>
        <w:wordWrap/>
        <w:overflowPunct/>
        <w:topLinePunct w:val="0"/>
        <w:bidi w:val="0"/>
        <w:spacing w:line="360" w:lineRule="auto"/>
        <w:rPr>
          <w:rFonts w:ascii="Times New Roman" w:hAnsi="Times New Roman"/>
        </w:rPr>
      </w:pPr>
      <w:r>
        <w:rPr>
          <w:rFonts w:ascii="Times New Roman" w:hAnsi="Times New Roman"/>
        </w:rPr>
        <w:br w:type="page"/>
      </w: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pPr>
      <w:bookmarkStart w:id="39" w:name="_Toc21436"/>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10、水污染物排放信息-排放口</w:t>
      </w:r>
      <w:bookmarkEnd w:id="39"/>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40" w:name="_Toc3009"/>
      <w:r>
        <w:rPr>
          <w:rFonts w:hint="eastAsia" w:ascii="Times New Roman" w:hAnsi="Times New Roman" w:eastAsia="宋体" w:cstheme="minorBidi"/>
          <w:b/>
          <w:bCs/>
          <w:snapToGrid/>
          <w:kern w:val="2"/>
          <w:sz w:val="24"/>
          <w:szCs w:val="24"/>
        </w:rPr>
        <w:t>10.1 废水直接排放口基本情况表</w:t>
      </w:r>
      <w:bookmarkEnd w:id="4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排放口地理坐标：对于直接排放至地表水体的排放口，指废水排出厂界处经纬度坐标；纳入管控的车间或车间处理设施排放口，指废水排出车间或车间处理设施边界处经纬度坐标；可通过点击“选择”按钮在GIS地图中点选后自动生成。具体操作同“排污单位基本信息”表中“生产经营场所中心经度”/“生产经营场所中心纬度”拾取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（2）受纳自然水体名称：指受纳水体的名称。如长江、府河等。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（3）受纳自然水体功能目标：指对于直接排放至地表水体的排放口，其所处受纳水体功能类别，如</w:t>
      </w:r>
      <w:r>
        <w:rPr>
          <w:rFonts w:hint="default" w:ascii="Times New Roman" w:hAnsi="Times New Roman" w:eastAsia="宋体" w:cs="Times New Roman"/>
          <w:snapToGrid/>
          <w:kern w:val="2"/>
          <w:sz w:val="24"/>
          <w:szCs w:val="24"/>
        </w:rPr>
        <w:t>Ⅲ</w:t>
      </w:r>
      <w:r>
        <w:rPr>
          <w:rFonts w:hint="eastAsia" w:ascii="Times New Roman" w:hAnsi="Times New Roman" w:eastAsia="宋体" w:cstheme="minorBidi"/>
          <w:snapToGrid/>
          <w:kern w:val="2"/>
          <w:sz w:val="24"/>
          <w:szCs w:val="24"/>
        </w:rPr>
        <w:t>类、</w:t>
      </w:r>
      <w:r>
        <w:rPr>
          <w:rFonts w:hint="default" w:ascii="Times New Roman" w:hAnsi="Times New Roman" w:eastAsia="宋体" w:cs="Times New Roman"/>
          <w:snapToGrid/>
          <w:kern w:val="2"/>
          <w:sz w:val="24"/>
          <w:szCs w:val="24"/>
        </w:rPr>
        <w:t>Ⅳ</w:t>
      </w:r>
      <w:r>
        <w:rPr>
          <w:rFonts w:hint="eastAsia" w:ascii="Times New Roman" w:hAnsi="Times New Roman" w:eastAsia="宋体" w:cstheme="minorBidi"/>
          <w:snapToGrid/>
          <w:kern w:val="2"/>
          <w:sz w:val="24"/>
          <w:szCs w:val="24"/>
        </w:rPr>
        <w:t>类、</w:t>
      </w:r>
      <w:r>
        <w:rPr>
          <w:rFonts w:hint="default" w:ascii="Times New Roman" w:hAnsi="Times New Roman" w:eastAsia="宋体" w:cs="Times New Roman"/>
          <w:snapToGrid/>
          <w:kern w:val="2"/>
          <w:sz w:val="24"/>
          <w:szCs w:val="24"/>
        </w:rPr>
        <w:t>Ⅴ</w:t>
      </w:r>
      <w:r>
        <w:rPr>
          <w:rFonts w:hint="eastAsia" w:ascii="Times New Roman" w:hAnsi="Times New Roman" w:eastAsia="宋体" w:cstheme="minorBidi"/>
          <w:snapToGrid/>
          <w:kern w:val="2"/>
          <w:sz w:val="24"/>
          <w:szCs w:val="24"/>
        </w:rPr>
        <w:t>类等。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4）汇入受纳自然水体处地理坐标：对于直接排放至地表水体的排放口，指废水汇入地表水体处经纬度坐标；可通过点击“选择”按钮在GIS地图中点选后自动生成。具体操作同“排污单位基本信息”表中“生产经营场所中心经度”/“生产经营场所中心纬度”拾取方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41" w:name="_Toc11946"/>
      <w:r>
        <w:rPr>
          <w:rFonts w:hint="eastAsia" w:ascii="Times New Roman" w:hAnsi="Times New Roman" w:eastAsia="宋体" w:cstheme="minorBidi"/>
          <w:b/>
          <w:bCs/>
          <w:snapToGrid/>
          <w:kern w:val="2"/>
          <w:sz w:val="24"/>
          <w:szCs w:val="24"/>
        </w:rPr>
        <w:t>10.2 入河排污口信息</w:t>
      </w:r>
      <w:bookmarkEnd w:id="4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如有，则填写入河排污口的编号、名称、批复文号；如无，则不填或填“/”。</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42" w:name="_Toc12340"/>
      <w:r>
        <w:rPr>
          <w:rFonts w:hint="eastAsia" w:ascii="Times New Roman" w:hAnsi="Times New Roman" w:eastAsia="宋体" w:cstheme="minorBidi"/>
          <w:b/>
          <w:bCs/>
          <w:snapToGrid/>
          <w:kern w:val="2"/>
          <w:sz w:val="24"/>
          <w:szCs w:val="24"/>
        </w:rPr>
        <w:t>10.3 雨水排放口基本情况表</w:t>
      </w:r>
      <w:bookmarkEnd w:id="4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（1）畜禽养殖行业排污单位无需填报雨水排放口信息。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z w:val="28"/>
          <w:szCs w:val="28"/>
        </w:rPr>
      </w:pPr>
      <w:r>
        <w:rPr>
          <w:rFonts w:hint="eastAsia" w:ascii="Times New Roman" w:hAnsi="Times New Roman" w:eastAsia="宋体" w:cstheme="minorBidi"/>
          <w:snapToGrid/>
          <w:kern w:val="2"/>
          <w:sz w:val="24"/>
          <w:szCs w:val="24"/>
        </w:rPr>
        <w:t>（2）如有雨水排放口，在此表添加，雨水排放口编号建议编为YS001、YS002等。</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43" w:name="_Toc19254"/>
      <w:r>
        <w:rPr>
          <w:rFonts w:hint="eastAsia" w:ascii="Times New Roman" w:hAnsi="Times New Roman" w:eastAsia="宋体" w:cstheme="minorBidi"/>
          <w:b/>
          <w:bCs/>
          <w:snapToGrid/>
          <w:kern w:val="2"/>
          <w:sz w:val="24"/>
          <w:szCs w:val="24"/>
        </w:rPr>
        <w:t>10.4 废水间接排放口基本情况表</w:t>
      </w:r>
      <w:bookmarkEnd w:id="4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排放口地理坐标：对于排至厂外城镇或工业污水集中处理设施的排放口，指废水排出厂界处经纬度坐标；对纳入管控的车间或者生产设施排放口，指废水排出车间或者生产设施边界处经纬度坐标。可通过点击“选择”按钮在GIS地图中点选后自动生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（2）受纳污水处理厂名称：指厂外城镇或工业污水集中处理设施名称，如黄陵污水处理厂等。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（3）排水协议规定的浓度限值：指排污单位与受纳污水处理厂等协商的污染物排放浓度限值要求。属于选填项，没有可以填写</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4）点击受纳污水处理厂名称后的“增加”按钮，可设置污水处理厂排放的污染物种类及其浓度限值。注意此处是填写受纳污水处理厂的排放浓度限值信息，不是指排污单位废水排放浓度限值。可借助“全国排污许可证管理信息平台”的信息公开栏查找相应污水厂的信息，具体操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a、进入“全国排污许可证管理信息平台”；b、许可信息公开；c、选择“湖北省”、“武汉市”，输入污水处理厂名称；d、点击“查看”，“水污染物排放信息”。</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44" w:name="_Toc16382"/>
      <w:r>
        <w:rPr>
          <w:rFonts w:hint="eastAsia" w:ascii="Times New Roman" w:hAnsi="Times New Roman" w:eastAsia="宋体" w:cstheme="minorBidi"/>
          <w:b/>
          <w:bCs/>
          <w:snapToGrid/>
          <w:kern w:val="2"/>
          <w:sz w:val="24"/>
          <w:szCs w:val="24"/>
        </w:rPr>
        <w:t>10.5 废水污染物排放执行标准表</w:t>
      </w:r>
      <w:bookmarkEnd w:id="4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（1）排放口编号、排放口名称、污染物种类：为系统根据产排污节点表中填报内容自动生成。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（2</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国家或地方污染物排放标准：填写对应排放口须执行的国家或地方污染物排放标准的名称、标准号及浓度限值。注意国标与地标、综合排放标准与行业排放标准等标准的取舍。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（3）排水协议规定的浓度限值：指排污单位与受纳污水处理厂等协商的污染物排放浓度限值要求。属于选填项，没有可以填写</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4）环境影响评价批复要求：填写企业的项目环评文件批复中确定的许可排放浓度和速率限值，应以数值+单位的形式填报。如批复的限值为某个国标或地标中的限值，则在“其他信息”中注明该标准名称及标准号；如执行标准对应有多个限值，则在“其他信息”中备注是执行哪个限值；如批复中无明确限值，则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（5）承诺更加严格排放限值：如有，则应以数值+单位的形式填报；如无，填“/”。</w:t>
      </w:r>
    </w:p>
    <w:p>
      <w:pPr>
        <w:keepNext w:val="0"/>
        <w:keepLines w:val="0"/>
        <w:pageBreakBefore w:val="0"/>
        <w:wordWrap/>
        <w:overflowPunct/>
        <w:topLinePunct w:val="0"/>
        <w:bidi w:val="0"/>
        <w:spacing w:line="360" w:lineRule="auto"/>
        <w:rPr>
          <w:rFonts w:ascii="Times New Roman" w:hAnsi="Times New Roman" w:eastAsia="宋体" w:cs="宋体"/>
          <w:spacing w:val="-11"/>
          <w:sz w:val="24"/>
          <w:szCs w:val="24"/>
        </w:rPr>
      </w:pPr>
      <w:r>
        <w:rPr>
          <w:rFonts w:hint="eastAsia" w:ascii="Times New Roman" w:hAnsi="Times New Roman" w:eastAsia="宋体" w:cs="宋体"/>
          <w:spacing w:val="-11"/>
          <w:sz w:val="24"/>
          <w:szCs w:val="24"/>
        </w:rPr>
        <w:br w:type="page"/>
      </w: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pPr>
      <w:bookmarkStart w:id="45" w:name="_Toc25138"/>
      <w:r>
        <w:rPr>
          <w:rFonts w:hint="eastAsia"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11、水污染物排放信息--申请排放信息</w:t>
      </w:r>
      <w:bookmarkEnd w:id="4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（1）按照行业技术规范要求，无需计算水污染物许可排放量的行业企业，则无论环评或省版许可证中是否有总量指标，本表中“申请年许可排放量限值”、“申请特殊时段许可排放量限值”都统一填写“/”。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rPr>
      </w:pPr>
      <w:r>
        <w:rPr>
          <w:rFonts w:hint="eastAsia" w:ascii="Times New Roman" w:hAnsi="Times New Roman" w:eastAsia="宋体" w:cstheme="minorBidi"/>
          <w:snapToGrid/>
          <w:kern w:val="2"/>
          <w:sz w:val="24"/>
          <w:szCs w:val="24"/>
        </w:rPr>
        <w:t>（2）按照行业技术规范要求，需计算水污染物许可排放量的行业企业，</w:t>
      </w:r>
      <w:r>
        <w:rPr>
          <w:rFonts w:hint="eastAsia" w:ascii="Times New Roman" w:hAnsi="Times New Roman" w:eastAsia="宋体" w:cstheme="minorBidi"/>
          <w:snapToGrid/>
          <w:kern w:val="2"/>
          <w:sz w:val="24"/>
          <w:szCs w:val="24"/>
          <w:lang w:val="en-US" w:eastAsia="zh-CN"/>
        </w:rPr>
        <w:t>要依据总量控制指标及技术规范中规定的方法从严确定许可排放量，2015年1月1日（含）后取得环境影响评价审批意见的排污单位，许可排放量还应同时满足环境影响评价文件和审批意见要求。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lang w:val="en-US" w:eastAsia="zh-CN"/>
        </w:rPr>
        <w:t>总量控制指标包括地方政府或生态环境主管部门发文确定的排污单位总量控制指标、环境影响评价审批文件中的总量控制指标、现有排污许可证中载明的总量控制指标、通过排污权有偿使用和交易确定的总量控制指标等地方政府或生态环境主管部门与排污许可证申领排污单位以一定形式确认的总量控制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（3）水污染物的“申请特殊时段许可排放量限值”统一填“/”。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（4）全厂排放口总计是否需要按月细化：选“否”。</w:t>
      </w:r>
    </w:p>
    <w:p>
      <w:pPr>
        <w:keepNext w:val="0"/>
        <w:keepLines w:val="0"/>
        <w:pageBreakBefore w:val="0"/>
        <w:wordWrap/>
        <w:overflowPunct/>
        <w:topLinePunct w:val="0"/>
        <w:bidi w:val="0"/>
        <w:spacing w:before="91" w:line="360" w:lineRule="auto"/>
        <w:rPr>
          <w:rFonts w:ascii="Times New Roman" w:hAnsi="Times New Roman" w:eastAsia="宋体" w:cs="宋体"/>
          <w:spacing w:val="-11"/>
          <w:sz w:val="24"/>
          <w:szCs w:val="24"/>
        </w:rPr>
      </w:pPr>
      <w:r>
        <w:rPr>
          <w:rFonts w:ascii="Times New Roman" w:hAnsi="Times New Roman"/>
        </w:rPr>
        <mc:AlternateContent>
          <mc:Choice Requires="wps">
            <w:drawing>
              <wp:anchor distT="0" distB="0" distL="114300" distR="114300" simplePos="0" relativeHeight="251684864" behindDoc="0" locked="0" layoutInCell="1" allowOverlap="1">
                <wp:simplePos x="0" y="0"/>
                <wp:positionH relativeFrom="column">
                  <wp:posOffset>1673860</wp:posOffset>
                </wp:positionH>
                <wp:positionV relativeFrom="paragraph">
                  <wp:posOffset>377825</wp:posOffset>
                </wp:positionV>
                <wp:extent cx="1811020" cy="333375"/>
                <wp:effectExtent l="0" t="0" r="0" b="0"/>
                <wp:wrapNone/>
                <wp:docPr id="82" name="文本框 51"/>
                <wp:cNvGraphicFramePr/>
                <a:graphic xmlns:a="http://schemas.openxmlformats.org/drawingml/2006/main">
                  <a:graphicData uri="http://schemas.microsoft.com/office/word/2010/wordprocessingShape">
                    <wps:wsp>
                      <wps:cNvSpPr txBox="1"/>
                      <wps:spPr>
                        <a:xfrm>
                          <a:off x="0" y="0"/>
                          <a:ext cx="1811020" cy="333375"/>
                        </a:xfrm>
                        <a:prstGeom prst="rect">
                          <a:avLst/>
                        </a:prstGeom>
                        <a:noFill/>
                        <a:ln>
                          <a:noFill/>
                        </a:ln>
                      </wps:spPr>
                      <wps:txbx>
                        <w:txbxContent>
                          <w:p>
                            <w:pPr>
                              <w:spacing w:line="20" w:lineRule="exact"/>
                            </w:pPr>
                          </w:p>
                          <w:tbl>
                            <w:tblPr>
                              <w:tblStyle w:val="14"/>
                              <w:tblW w:w="2796"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79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55" w:hRule="atLeast"/>
                              </w:trPr>
                              <w:tc>
                                <w:tcPr>
                                  <w:tcW w:w="2796" w:type="dxa"/>
                                  <w:shd w:val="clear" w:color="auto" w:fill="FFFFFF"/>
                                </w:tcPr>
                                <w:p>
                                  <w:pPr>
                                    <w:spacing w:before="121" w:line="186" w:lineRule="auto"/>
                                    <w:ind w:firstLine="156"/>
                                    <w:rPr>
                                      <w:rFonts w:ascii="宋体" w:hAnsi="宋体" w:eastAsia="宋体" w:cs="宋体"/>
                                    </w:rPr>
                                  </w:pPr>
                                  <w:r>
                                    <w:rPr>
                                      <w:rFonts w:hint="eastAsia" w:ascii="Times New Roman" w:hAnsi="Times New Roman" w:eastAsia="宋体"/>
                                      <w:b/>
                                      <w:bCs/>
                                      <w:color w:val="4F81BD" w:themeColor="accent1"/>
                                      <w14:textFill>
                                        <w14:solidFill>
                                          <w14:schemeClr w14:val="accent1"/>
                                        </w14:solidFill>
                                      </w14:textFill>
                                    </w:rPr>
                                    <w:t>是否需要按月细化：“否”</w:t>
                                  </w:r>
                                </w:p>
                              </w:tc>
                            </w:tr>
                          </w:tbl>
                          <w:p>
                            <w:pPr>
                              <w:rPr>
                                <w:rFonts w:ascii="宋体"/>
                              </w:rPr>
                            </w:pPr>
                          </w:p>
                        </w:txbxContent>
                      </wps:txbx>
                      <wps:bodyPr lIns="0" tIns="0" rIns="0" bIns="0" upright="1"/>
                    </wps:wsp>
                  </a:graphicData>
                </a:graphic>
              </wp:anchor>
            </w:drawing>
          </mc:Choice>
          <mc:Fallback>
            <w:pict>
              <v:shape id="文本框 51" o:spid="_x0000_s1026" o:spt="202" type="#_x0000_t202" style="position:absolute;left:0pt;margin-left:131.8pt;margin-top:29.75pt;height:26.25pt;width:142.6pt;z-index:251684864;mso-width-relative:page;mso-height-relative:page;" filled="f" stroked="f" coordsize="21600,21600" o:gfxdata="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qKDKj2QAAAAoBAAAPAAAAAAAA&#10;AAEAIAAAACIAAABkcnMvZG93bnJldi54bWxQSwECFAAUAAAACACHTuJAY4W7b58BAAAmAwAADgAA&#10;AAAAAAABACAAAAAoAQAAZHJzL2Uyb0RvYy54bWxQSwUGAAAAAAYABgBZAQAAOQUAAAAA&#10;">
                <v:fill on="f" focussize="0,0"/>
                <v:stroke on="f"/>
                <v:imagedata o:title=""/>
                <o:lock v:ext="edit" aspectratio="f"/>
                <v:textbox inset="0mm,0mm,0mm,0mm">
                  <w:txbxContent>
                    <w:p>
                      <w:pPr>
                        <w:spacing w:line="20" w:lineRule="exact"/>
                      </w:pPr>
                    </w:p>
                    <w:tbl>
                      <w:tblPr>
                        <w:tblStyle w:val="14"/>
                        <w:tblW w:w="2796"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279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455" w:hRule="atLeast"/>
                        </w:trPr>
                        <w:tc>
                          <w:tcPr>
                            <w:tcW w:w="2796" w:type="dxa"/>
                            <w:shd w:val="clear" w:color="auto" w:fill="FFFFFF"/>
                          </w:tcPr>
                          <w:p>
                            <w:pPr>
                              <w:spacing w:before="121" w:line="186" w:lineRule="auto"/>
                              <w:ind w:firstLine="156"/>
                              <w:rPr>
                                <w:rFonts w:ascii="宋体" w:hAnsi="宋体" w:eastAsia="宋体" w:cs="宋体"/>
                              </w:rPr>
                            </w:pPr>
                            <w:r>
                              <w:rPr>
                                <w:rFonts w:hint="eastAsia" w:ascii="Times New Roman" w:hAnsi="Times New Roman" w:eastAsia="宋体"/>
                                <w:b/>
                                <w:bCs/>
                                <w:color w:val="4F81BD" w:themeColor="accent1"/>
                                <w14:textFill>
                                  <w14:solidFill>
                                    <w14:schemeClr w14:val="accent1"/>
                                  </w14:solidFill>
                                </w14:textFill>
                              </w:rPr>
                              <w:t>是否需要按月细化：“否”</w:t>
                            </w:r>
                          </w:p>
                        </w:tc>
                      </w:tr>
                    </w:tbl>
                    <w:p>
                      <w:pPr>
                        <w:rPr>
                          <w:rFonts w:ascii="宋体"/>
                        </w:rPr>
                      </w:pPr>
                    </w:p>
                  </w:txbxContent>
                </v:textbox>
              </v:shape>
            </w:pict>
          </mc:Fallback>
        </mc:AlternateContent>
      </w:r>
      <w:r>
        <w:rPr>
          <w:rFonts w:ascii="Times New Roman" w:hAnsi="Times New Roman"/>
        </w:rPr>
        <w:drawing>
          <wp:inline distT="0" distB="0" distL="114300" distR="114300">
            <wp:extent cx="6182995" cy="1313815"/>
            <wp:effectExtent l="0" t="0" r="8255" b="635"/>
            <wp:docPr id="8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
                    <pic:cNvPicPr>
                      <a:picLocks noChangeAspect="1"/>
                    </pic:cNvPicPr>
                  </pic:nvPicPr>
                  <pic:blipFill>
                    <a:blip r:embed="rId38"/>
                    <a:stretch>
                      <a:fillRect/>
                    </a:stretch>
                  </pic:blipFill>
                  <pic:spPr>
                    <a:xfrm>
                      <a:off x="0" y="0"/>
                      <a:ext cx="6182995" cy="1313815"/>
                    </a:xfrm>
                    <a:prstGeom prst="rect">
                      <a:avLst/>
                    </a:prstGeom>
                    <a:noFill/>
                    <a:ln>
                      <a:noFill/>
                    </a:ln>
                  </pic:spPr>
                </pic:pic>
              </a:graphicData>
            </a:graphic>
          </wp:inline>
        </w:drawing>
      </w:r>
    </w:p>
    <w:p>
      <w:pPr>
        <w:keepNext w:val="0"/>
        <w:keepLines w:val="0"/>
        <w:pageBreakBefore w:val="0"/>
        <w:wordWrap/>
        <w:overflowPunct/>
        <w:topLinePunct w:val="0"/>
        <w:bidi w:val="0"/>
        <w:spacing w:before="234" w:line="360" w:lineRule="auto"/>
        <w:ind w:right="95" w:firstLine="480" w:firstLineChars="200"/>
        <w:rPr>
          <w:rFonts w:ascii="Times New Roman" w:hAnsi="Times New Roman" w:eastAsia="宋体" w:cs="宋体"/>
          <w:sz w:val="28"/>
          <w:szCs w:val="28"/>
        </w:rPr>
      </w:pPr>
      <w:r>
        <w:rPr>
          <w:rFonts w:hint="eastAsia" w:ascii="Times New Roman" w:hAnsi="Times New Roman" w:eastAsia="宋体" w:cstheme="minorBidi"/>
          <w:snapToGrid/>
          <w:kern w:val="2"/>
          <w:sz w:val="24"/>
          <w:szCs w:val="24"/>
        </w:rPr>
        <w:t>（5）“申请年排放量限值计算过程：（包括方法、公式、参数选取过程，以及计算结果的描述等内容）”，这一栏可填“计算过程详见附件”，然后在“相关附件”中添加年排放量具体计算和确定过程。计算过程的模板可参考本指南的“附件二  废水许可排放量计算模板”。</w:t>
      </w:r>
    </w:p>
    <w:p>
      <w:pPr>
        <w:keepNext w:val="0"/>
        <w:keepLines w:val="0"/>
        <w:pageBreakBefore w:val="0"/>
        <w:wordWrap/>
        <w:overflowPunct/>
        <w:topLinePunct w:val="0"/>
        <w:bidi w:val="0"/>
        <w:spacing w:before="234" w:line="360" w:lineRule="auto"/>
        <w:ind w:left="447" w:leftChars="213" w:right="95"/>
        <w:rPr>
          <w:rFonts w:ascii="Times New Roman" w:hAnsi="Times New Roman" w:eastAsia="宋体" w:cs="宋体"/>
          <w:sz w:val="28"/>
          <w:szCs w:val="28"/>
        </w:rPr>
      </w:pPr>
    </w:p>
    <w:p>
      <w:pPr>
        <w:keepNext w:val="0"/>
        <w:keepLines w:val="0"/>
        <w:pageBreakBefore w:val="0"/>
        <w:wordWrap/>
        <w:overflowPunct/>
        <w:topLinePunct w:val="0"/>
        <w:bidi w:val="0"/>
        <w:spacing w:line="360" w:lineRule="auto"/>
        <w:rPr>
          <w:rFonts w:ascii="Times New Roman" w:hAnsi="Times New Roman"/>
        </w:rPr>
        <w:sectPr>
          <w:footerReference r:id="rId14" w:type="default"/>
          <w:pgSz w:w="11907" w:h="16839"/>
          <w:pgMar w:top="1431" w:right="1035" w:bottom="1375" w:left="1124" w:header="0" w:footer="1259" w:gutter="0"/>
          <w:pgNumType w:fmt="decimal"/>
          <w:cols w:space="720" w:num="1"/>
        </w:sectPr>
      </w:pP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pPr>
      <w:bookmarkStart w:id="46" w:name="_Toc17439"/>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12、固体废物</w:t>
      </w:r>
      <w:r>
        <w:rPr>
          <w:rFonts w:hint="eastAsia" w:ascii="Times New Roman" w:hAnsi="Times New Roman" w:eastAsia="宋体" w:cs="宋体"/>
          <w:spacing w:val="-6"/>
          <w:sz w:val="28"/>
          <w:szCs w:val="28"/>
          <w:lang w:val="en-US" w:eastAsia="zh-CN"/>
          <w14:textOutline w14:w="5791" w14:cap="flat" w14:cmpd="sng" w14:algn="ctr">
            <w14:solidFill>
              <w14:srgbClr w14:val="000000"/>
            </w14:solidFill>
            <w14:prstDash w14:val="solid"/>
            <w14:miter w14:val="0"/>
          </w14:textOutline>
        </w:rPr>
        <w:t>管理</w:t>
      </w:r>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信息</w:t>
      </w:r>
      <w:bookmarkEnd w:id="46"/>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47" w:name="_Toc9770"/>
      <w:r>
        <w:rPr>
          <w:rFonts w:hint="eastAsia" w:ascii="Times New Roman" w:hAnsi="Times New Roman" w:eastAsia="宋体" w:cstheme="minorBidi"/>
          <w:b/>
          <w:bCs/>
          <w:snapToGrid/>
          <w:kern w:val="2"/>
          <w:sz w:val="24"/>
          <w:szCs w:val="24"/>
        </w:rPr>
        <w:t>12.1 固体废物基础信息表</w:t>
      </w:r>
      <w:bookmarkEnd w:id="4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本表需填写“行业类别”、“固体废物类别”、“固体废物名称”、“代码”、“危险特性”、“类别”、“物理性状”、“产生环节”、“去向”等信息，可在“备注”中注明固废产生量及对应的处置/利用单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48" w:name="_Toc1089"/>
      <w:r>
        <w:rPr>
          <w:rFonts w:hint="eastAsia" w:ascii="Times New Roman" w:hAnsi="Times New Roman" w:eastAsia="宋体" w:cstheme="minorBidi"/>
          <w:b/>
          <w:bCs/>
          <w:snapToGrid/>
          <w:kern w:val="2"/>
          <w:sz w:val="24"/>
          <w:szCs w:val="24"/>
        </w:rPr>
        <w:t>12.2 委托贮存/利用/处置环节污染防控技术要求</w:t>
      </w:r>
      <w:bookmarkEnd w:id="4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委托贮存/利用/处置环节污染防控技术要求应根据《排污许可证申请与核发技术规范  工业固体废物（试行）》（HJ1200-2021）中第5节“污染防控技术要求”的相关内容进行填报。</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49" w:name="_Toc19015"/>
      <w:r>
        <w:rPr>
          <w:rFonts w:hint="eastAsia" w:ascii="Times New Roman" w:hAnsi="Times New Roman" w:eastAsia="宋体" w:cstheme="minorBidi"/>
          <w:b/>
          <w:bCs/>
          <w:snapToGrid/>
          <w:kern w:val="2"/>
          <w:sz w:val="24"/>
          <w:szCs w:val="24"/>
        </w:rPr>
        <w:t>12.3 自行贮存和自行利用/处置设施信息表</w:t>
      </w:r>
      <w:bookmarkEnd w:id="49"/>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本表需填写“固体废物类别”、“设施名称”、</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设施编号</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、“设施类型”、“位置”、“污染防控技术要求”等内容，其中“污染防控技术要求”应根据《排污许可证申请与核发技术规范  工业固体废物（试行）》（HJ1200-2021）中第5节“污染防控技术要求”的相关内容进行填报。</w:t>
      </w:r>
    </w:p>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pPr>
      <w:r>
        <w:rPr>
          <w:rFonts w:ascii="Times New Roman" w:hAnsi="Times New Roman"/>
        </w:rPr>
        <w:br w:type="page"/>
      </w: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pPr>
      <w:bookmarkStart w:id="50" w:name="_Toc20609"/>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13、环境管理要求-</w:t>
      </w:r>
      <w:r>
        <w:rPr>
          <w:rFonts w:hint="eastAsia"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w:t>
      </w:r>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自行监测要求</w:t>
      </w:r>
      <w:bookmarkEnd w:id="50"/>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51" w:name="_Toc2404"/>
      <w:r>
        <w:rPr>
          <w:rFonts w:hint="eastAsia" w:ascii="Times New Roman" w:hAnsi="Times New Roman" w:eastAsia="宋体" w:cstheme="minorBidi"/>
          <w:b/>
          <w:bCs/>
          <w:snapToGrid/>
          <w:kern w:val="2"/>
          <w:sz w:val="24"/>
          <w:szCs w:val="24"/>
        </w:rPr>
        <w:t>13.1 自行监测要求表</w:t>
      </w:r>
      <w:bookmarkEnd w:id="5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（1）监测内容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污染源类别为“废</w:t>
      </w:r>
      <w:r>
        <w:rPr>
          <w:rFonts w:hint="eastAsia" w:ascii="Times New Roman" w:hAnsi="Times New Roman" w:eastAsia="宋体" w:cstheme="minorBidi"/>
          <w:snapToGrid/>
          <w:kern w:val="2"/>
          <w:sz w:val="24"/>
          <w:szCs w:val="24"/>
          <w:lang w:val="en-US" w:eastAsia="zh-CN"/>
        </w:rPr>
        <w:t>气</w:t>
      </w:r>
      <w:r>
        <w:rPr>
          <w:rFonts w:hint="eastAsia" w:ascii="Times New Roman" w:hAnsi="Times New Roman" w:eastAsia="宋体" w:cstheme="minorBidi"/>
          <w:snapToGrid/>
          <w:kern w:val="2"/>
          <w:sz w:val="24"/>
          <w:szCs w:val="24"/>
        </w:rPr>
        <w:t>”的</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监测内容应至少填写烟气参数，包括“烟气温度、烟气流速、烟气含湿量、烟道截面积、烟气量”，对于锅炉、焚烧炉等燃烧废气，烟气参数还应增加“氧含量”</w:t>
      </w:r>
      <w:r>
        <w:rPr>
          <w:rFonts w:hint="eastAsia" w:ascii="Times New Roman" w:hAnsi="Times New Roman" w:eastAsia="宋体" w:cstheme="minorBidi"/>
          <w:snapToGrid/>
          <w:kern w:val="2"/>
          <w:sz w:val="24"/>
          <w:szCs w:val="24"/>
          <w:lang w:eastAsia="zh-CN"/>
        </w:rPr>
        <w:t>；</w:t>
      </w:r>
      <w:r>
        <w:rPr>
          <w:rFonts w:hint="eastAsia" w:ascii="Times New Roman" w:hAnsi="Times New Roman" w:eastAsia="宋体" w:cstheme="minorBidi"/>
          <w:snapToGrid/>
          <w:kern w:val="2"/>
          <w:sz w:val="24"/>
          <w:szCs w:val="24"/>
        </w:rPr>
        <w:t>污染源类别为“废水”的，监测内容应至少填写“流量”，废水连续排放的，增加“水流流速”。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（2）监测设施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根据所在行业的《排污许可证申请与核发技术规范》要求，选择“自动”或“手工”。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lang w:val="en-US" w:eastAsia="zh-CN"/>
        </w:rPr>
      </w:pPr>
      <w:r>
        <w:rPr>
          <w:rFonts w:hint="eastAsia" w:ascii="Times New Roman" w:hAnsi="Times New Roman" w:eastAsia="宋体" w:cstheme="minorBidi"/>
          <w:snapToGrid/>
          <w:kern w:val="2"/>
          <w:sz w:val="24"/>
          <w:szCs w:val="24"/>
          <w:lang w:val="en-US" w:eastAsia="zh-CN"/>
        </w:rPr>
        <w:t>根据《污染源自动监控设施运行管理办法》的要求：“自动监测设施不能正常运行期间，应按要求将手工监测数据向环境保护主管部门报送，每天不少于4次，间隔不得超过6h”。</w:t>
      </w:r>
      <w:r>
        <w:rPr>
          <w:rFonts w:hint="eastAsia" w:ascii="Times New Roman" w:hAnsi="Times New Roman" w:eastAsia="宋体" w:cstheme="minorBidi"/>
          <w:snapToGrid/>
          <w:kern w:val="2"/>
          <w:sz w:val="24"/>
          <w:szCs w:val="24"/>
        </w:rPr>
        <w:t>则</w:t>
      </w:r>
      <w:r>
        <w:rPr>
          <w:rFonts w:hint="eastAsia" w:ascii="Times New Roman" w:hAnsi="Times New Roman" w:eastAsia="宋体" w:cstheme="minorBidi"/>
          <w:snapToGrid/>
          <w:kern w:val="2"/>
          <w:sz w:val="24"/>
          <w:szCs w:val="24"/>
          <w:lang w:val="en-US" w:eastAsia="zh-CN"/>
        </w:rPr>
        <w:t>需进行自动监测的污染物</w:t>
      </w:r>
      <w:r>
        <w:rPr>
          <w:rFonts w:hint="eastAsia" w:ascii="Times New Roman" w:hAnsi="Times New Roman" w:eastAsia="宋体" w:cstheme="minorBidi"/>
          <w:snapToGrid/>
          <w:kern w:val="2"/>
          <w:sz w:val="24"/>
          <w:szCs w:val="24"/>
        </w:rPr>
        <w:t>除了选择自动监测外，还应在“手工监测采样方法及个数”、“手工监测频次”、“手工测定方法”这几栏补充自动监控设备故障时采取的手工监测要求</w:t>
      </w:r>
      <w:r>
        <w:rPr>
          <w:rFonts w:hint="eastAsia" w:ascii="Times New Roman" w:hAnsi="Times New Roman" w:eastAsia="宋体" w:cstheme="minorBidi"/>
          <w:snapToGrid/>
          <w:kern w:val="2"/>
          <w:sz w:val="24"/>
          <w:szCs w:val="24"/>
          <w:lang w:val="en-US" w:eastAsia="zh-CN"/>
        </w:rPr>
        <w:t>。手工频次应填写“每天不少于4次，间隔不得超过6h”，其他信息中应填写“自动监测设施故障期间，进行手工监测”。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（3）手工监测频次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指一段时期内的监测次数要求，如1次/周、1次/月等。监测频次根据行业技术规范及自行监测技术指南填报。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（4）手工测定方法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指污染物浓度测定方法，如“测定化学需氧量的重铬酸钾法”、“测定氨氮的水杨酸分光光度法”等。一般情况下测定方法根据执行排放标准的要求进行选择。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（5）对于行业《技术规范》及行业《自行监测技术指南》没有明确要求监测频次的排放口，监测要求可参照《排污单位自行监测技术指南  总则》（HJ819-2017）的要求执行。</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52" w:name="_Toc16056"/>
      <w:r>
        <w:rPr>
          <w:rFonts w:hint="eastAsia" w:ascii="Times New Roman" w:hAnsi="Times New Roman" w:eastAsia="宋体" w:cstheme="minorBidi"/>
          <w:b/>
          <w:bCs/>
          <w:snapToGrid/>
          <w:kern w:val="2"/>
          <w:sz w:val="24"/>
          <w:szCs w:val="24"/>
        </w:rPr>
        <w:t>13.2 其他自行监测及记录信息</w:t>
      </w:r>
      <w:bookmarkEnd w:id="5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该表格填报无组织废气、“雨水排放口”（若技术规范有要求）、按照环境管理要求、环评文件要求等未在“自行监测要求”表中体现的需要补充的监测要求（如部分行业技术规范及自行监测技术指南要求监测流量）。该表格中无组织废气的“监测内容”应填写监测时的气象条件，至少包括“温度、气压、风速、风向”。</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53" w:name="_Toc30388"/>
      <w:r>
        <w:rPr>
          <w:rFonts w:hint="eastAsia" w:ascii="Times New Roman" w:hAnsi="Times New Roman" w:eastAsia="宋体" w:cstheme="minorBidi"/>
          <w:b/>
          <w:bCs/>
          <w:snapToGrid/>
          <w:kern w:val="2"/>
          <w:sz w:val="24"/>
          <w:szCs w:val="24"/>
        </w:rPr>
        <w:t>13.3 监测质量保证与质量控制要求</w:t>
      </w:r>
      <w:bookmarkEnd w:id="5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建议填写：排污单位按照HJ819要求建立并实施自行监测质量保证与质量控制措施方案，以自证自行监测数据的质量。</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54" w:name="_Toc7944"/>
      <w:r>
        <w:rPr>
          <w:rFonts w:hint="eastAsia" w:ascii="Times New Roman" w:hAnsi="Times New Roman" w:eastAsia="宋体" w:cstheme="minorBidi"/>
          <w:b/>
          <w:bCs/>
          <w:snapToGrid/>
          <w:kern w:val="2"/>
          <w:sz w:val="24"/>
          <w:szCs w:val="24"/>
        </w:rPr>
        <w:t>13.4 监测数据记录、整理、存档要求</w:t>
      </w:r>
      <w:bookmarkEnd w:id="5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建议填写：监测期间手工监测的记录和自动监测运维记录按照HJ819执行，同步记录监测期间的生产工况。</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heme="minorBidi"/>
          <w:b/>
          <w:bCs/>
          <w:snapToGrid/>
          <w:kern w:val="2"/>
          <w:sz w:val="24"/>
          <w:szCs w:val="24"/>
        </w:rPr>
      </w:pPr>
      <w:bookmarkStart w:id="55" w:name="_Toc27815"/>
      <w:r>
        <w:rPr>
          <w:rFonts w:hint="eastAsia" w:ascii="Times New Roman" w:hAnsi="Times New Roman" w:eastAsia="宋体" w:cstheme="minorBidi"/>
          <w:b/>
          <w:bCs/>
          <w:snapToGrid/>
          <w:kern w:val="2"/>
          <w:sz w:val="24"/>
          <w:szCs w:val="24"/>
        </w:rPr>
        <w:t>13.5 监测点位示意图</w:t>
      </w:r>
      <w:bookmarkEnd w:id="5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应包括所有监测点位置、监测点编号，包括有组织废气排口监测点、无组织废气监测点、雨水监测点（如有要求）、排水口监测点等所有监测点位置和编号。</w:t>
      </w:r>
    </w:p>
    <w:p>
      <w:pPr>
        <w:keepNext w:val="0"/>
        <w:keepLines w:val="0"/>
        <w:pageBreakBefore w:val="0"/>
        <w:wordWrap/>
        <w:overflowPunct/>
        <w:topLinePunct w:val="0"/>
        <w:bidi w:val="0"/>
        <w:spacing w:before="91" w:line="360" w:lineRule="auto"/>
        <w:ind w:firstLine="464" w:firstLineChars="213"/>
        <w:rPr>
          <w:rFonts w:ascii="Times New Roman" w:hAnsi="Times New Roman" w:eastAsia="宋体" w:cs="宋体"/>
          <w:spacing w:val="-11"/>
          <w:sz w:val="24"/>
          <w:szCs w:val="24"/>
        </w:rPr>
      </w:pPr>
    </w:p>
    <w:p>
      <w:pPr>
        <w:keepNext w:val="0"/>
        <w:keepLines w:val="0"/>
        <w:pageBreakBefore w:val="0"/>
        <w:wordWrap/>
        <w:overflowPunct/>
        <w:topLinePunct w:val="0"/>
        <w:bidi w:val="0"/>
        <w:spacing w:line="360" w:lineRule="auto"/>
        <w:rPr>
          <w:rFonts w:ascii="Times New Roman" w:hAnsi="Times New Roman" w:eastAsia="宋体" w:cs="宋体"/>
          <w:spacing w:val="-11"/>
          <w:sz w:val="24"/>
          <w:szCs w:val="24"/>
        </w:rPr>
      </w:pPr>
      <w:r>
        <w:rPr>
          <w:rFonts w:ascii="Times New Roman" w:hAnsi="Times New Roman" w:eastAsia="宋体" w:cs="宋体"/>
          <w:spacing w:val="-11"/>
          <w:sz w:val="24"/>
          <w:szCs w:val="24"/>
        </w:rPr>
        <w:br w:type="page"/>
      </w: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pPr>
      <w:bookmarkStart w:id="56" w:name="_Toc18856"/>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14、环境管理要求-环境管理台账记录要求</w:t>
      </w:r>
      <w:bookmarkEnd w:id="5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环境管理台账记录要求分基本信息、生产设施运行管理信息、污染防治设施运行管理信息、监测记录信息、其他环境管理信息等。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行业技术规范中对于台账记录的要求为最基本要求，企业可根据情况自行完善、增加要求，但不得低于技术规范的要求。</w:t>
      </w:r>
    </w:p>
    <w:p>
      <w:pPr>
        <w:keepNext w:val="0"/>
        <w:keepLines w:val="0"/>
        <w:pageBreakBefore w:val="0"/>
        <w:wordWrap/>
        <w:overflowPunct/>
        <w:topLinePunct w:val="0"/>
        <w:bidi w:val="0"/>
        <w:spacing w:before="91" w:line="360" w:lineRule="auto"/>
        <w:ind w:firstLine="464" w:firstLineChars="213"/>
        <w:rPr>
          <w:rFonts w:ascii="Times New Roman" w:hAnsi="Times New Roman" w:eastAsia="宋体" w:cs="宋体"/>
          <w:spacing w:val="-11"/>
          <w:sz w:val="24"/>
          <w:szCs w:val="24"/>
        </w:rPr>
      </w:pPr>
    </w:p>
    <w:p>
      <w:pPr>
        <w:keepNext w:val="0"/>
        <w:keepLines w:val="0"/>
        <w:pageBreakBefore w:val="0"/>
        <w:wordWrap/>
        <w:overflowPunct/>
        <w:topLinePunct w:val="0"/>
        <w:bidi w:val="0"/>
        <w:spacing w:line="360" w:lineRule="auto"/>
        <w:rPr>
          <w:rFonts w:ascii="Times New Roman" w:hAnsi="Times New Roman" w:eastAsia="宋体" w:cs="宋体"/>
          <w:spacing w:val="-11"/>
          <w:sz w:val="24"/>
          <w:szCs w:val="24"/>
        </w:rPr>
      </w:pPr>
      <w:r>
        <w:rPr>
          <w:rFonts w:ascii="Times New Roman" w:hAnsi="Times New Roman" w:eastAsia="宋体" w:cs="宋体"/>
          <w:spacing w:val="-11"/>
          <w:sz w:val="24"/>
          <w:szCs w:val="24"/>
        </w:rPr>
        <w:br w:type="page"/>
      </w: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pPr>
      <w:bookmarkStart w:id="57" w:name="_Toc21493"/>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15、补充登记信息</w:t>
      </w:r>
      <w:bookmarkEnd w:id="5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对于发证企业，如有属于登记管理的部分，可在本表填报登记信息。</w:t>
      </w:r>
    </w:p>
    <w:p>
      <w:pPr>
        <w:keepNext w:val="0"/>
        <w:keepLines w:val="0"/>
        <w:pageBreakBefore w:val="0"/>
        <w:wordWrap/>
        <w:overflowPunct/>
        <w:topLinePunct w:val="0"/>
        <w:bidi w:val="0"/>
        <w:spacing w:line="360" w:lineRule="auto"/>
        <w:rPr>
          <w:rFonts w:ascii="Times New Roman" w:hAnsi="Times New Roman" w:eastAsia="宋体" w:cs="宋体"/>
          <w:spacing w:val="-11"/>
          <w:sz w:val="24"/>
          <w:szCs w:val="24"/>
        </w:rPr>
      </w:pPr>
    </w:p>
    <w:p>
      <w:pPr>
        <w:keepNext w:val="0"/>
        <w:keepLines w:val="0"/>
        <w:pageBreakBefore w:val="0"/>
        <w:wordWrap/>
        <w:overflowPunct/>
        <w:topLinePunct w:val="0"/>
        <w:bidi w:val="0"/>
        <w:spacing w:line="360" w:lineRule="auto"/>
        <w:rPr>
          <w:rFonts w:ascii="Times New Roman" w:hAnsi="Times New Roman" w:eastAsia="宋体" w:cs="宋体"/>
          <w:spacing w:val="-11"/>
          <w:sz w:val="24"/>
          <w:szCs w:val="24"/>
        </w:rPr>
      </w:pPr>
    </w:p>
    <w:p>
      <w:pPr>
        <w:keepNext w:val="0"/>
        <w:keepLines w:val="0"/>
        <w:pageBreakBefore w:val="0"/>
        <w:wordWrap/>
        <w:overflowPunct/>
        <w:topLinePunct w:val="0"/>
        <w:bidi w:val="0"/>
        <w:spacing w:line="360" w:lineRule="auto"/>
        <w:rPr>
          <w:rFonts w:ascii="Times New Roman" w:hAnsi="Times New Roman" w:eastAsia="宋体" w:cs="宋体"/>
          <w:spacing w:val="-11"/>
          <w:sz w:val="24"/>
          <w:szCs w:val="24"/>
        </w:rPr>
      </w:pPr>
      <w:r>
        <w:rPr>
          <w:rFonts w:ascii="Times New Roman" w:hAnsi="Times New Roman" w:eastAsia="宋体" w:cs="宋体"/>
          <w:spacing w:val="-11"/>
          <w:sz w:val="24"/>
          <w:szCs w:val="24"/>
        </w:rPr>
        <w:br w:type="page"/>
      </w: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pPr>
      <w:bookmarkStart w:id="58" w:name="_Toc14415"/>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16、地方生态环境主管部门依法增加的内容</w:t>
      </w:r>
      <w:bookmarkEnd w:id="5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（1）噪声排放信息：根据行业技术规范及自行监测技术指南的要求填报。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（2）有核发权的地方生态环境主管部门增加的管理内容：如主管部门有要求增加的管理内容，可在此填报；如无，填“/”。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3）改正规定：对于在系统第一张表“排污单位基本信息表”的第一个选项“是否需改正”处，选择了“是”的企业，即根据《关于固定污染源排污限期整改有关事项的通知》（环评〔2020〕19号）属于限期整改类的企业，需填写改正规定。填写要求可咨询所在区生态环境主管部门。</w:t>
      </w:r>
    </w:p>
    <w:p>
      <w:pPr>
        <w:keepNext w:val="0"/>
        <w:keepLines w:val="0"/>
        <w:pageBreakBefore w:val="0"/>
        <w:wordWrap/>
        <w:overflowPunct/>
        <w:topLinePunct w:val="0"/>
        <w:bidi w:val="0"/>
        <w:spacing w:before="91" w:line="360" w:lineRule="auto"/>
        <w:ind w:firstLine="587" w:firstLineChars="213"/>
        <w:rPr>
          <w:rFonts w:ascii="Times New Roman" w:hAnsi="Times New Roman" w:eastAsia="宋体" w:cs="宋体"/>
          <w:spacing w:val="-2"/>
          <w:sz w:val="28"/>
          <w:szCs w:val="28"/>
        </w:rPr>
      </w:pPr>
    </w:p>
    <w:p>
      <w:pPr>
        <w:keepNext w:val="0"/>
        <w:keepLines w:val="0"/>
        <w:pageBreakBefore w:val="0"/>
        <w:wordWrap/>
        <w:overflowPunct/>
        <w:topLinePunct w:val="0"/>
        <w:bidi w:val="0"/>
        <w:spacing w:line="360" w:lineRule="auto"/>
        <w:rPr>
          <w:rFonts w:ascii="Times New Roman" w:hAnsi="Times New Roman"/>
        </w:rPr>
        <w:sectPr>
          <w:footerReference r:id="rId15" w:type="default"/>
          <w:pgSz w:w="11907" w:h="16839"/>
          <w:pgMar w:top="1431" w:right="1042" w:bottom="1375" w:left="1142" w:header="0" w:footer="1259" w:gutter="0"/>
          <w:pgNumType w:fmt="decimal"/>
          <w:cols w:space="720" w:num="1"/>
        </w:sectPr>
      </w:pP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pPr>
      <w:bookmarkStart w:id="59" w:name="_Toc3058"/>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17、相关附件</w:t>
      </w:r>
      <w:bookmarkEnd w:id="59"/>
    </w:p>
    <w:p>
      <w:pPr>
        <w:keepNext w:val="0"/>
        <w:keepLines w:val="0"/>
        <w:pageBreakBefore w:val="0"/>
        <w:wordWrap/>
        <w:overflowPunct/>
        <w:topLinePunct w:val="0"/>
        <w:bidi w:val="0"/>
        <w:spacing w:before="91" w:line="360" w:lineRule="auto"/>
        <w:ind w:firstLine="511" w:firstLineChars="213"/>
        <w:rPr>
          <w:rFonts w:ascii="Times New Roman" w:hAnsi="Times New Roman" w:eastAsia="宋体" w:cs="宋体"/>
          <w:spacing w:val="-11"/>
          <w:sz w:val="24"/>
          <w:szCs w:val="24"/>
        </w:rPr>
      </w:pPr>
      <w:r>
        <w:rPr>
          <w:rFonts w:hint="eastAsia" w:ascii="Times New Roman" w:hAnsi="Times New Roman" w:eastAsia="宋体" w:cstheme="minorBidi"/>
          <w:snapToGrid/>
          <w:kern w:val="2"/>
          <w:sz w:val="24"/>
          <w:szCs w:val="24"/>
        </w:rPr>
        <w:t>各项附件要求如下：</w:t>
      </w:r>
    </w:p>
    <w:tbl>
      <w:tblPr>
        <w:tblStyle w:val="14"/>
        <w:tblW w:w="502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41"/>
        <w:gridCol w:w="4028"/>
        <w:gridCol w:w="44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50"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2"/>
                <w:sz w:val="24"/>
                <w:szCs w:val="24"/>
              </w:rPr>
              <w:t>序号</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50"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2"/>
                <w:sz w:val="24"/>
                <w:szCs w:val="24"/>
              </w:rPr>
              <w:t>文件名称</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50"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3"/>
                <w:sz w:val="24"/>
                <w:szCs w:val="24"/>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83"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b/>
                <w:bCs/>
                <w:sz w:val="24"/>
                <w:szCs w:val="24"/>
              </w:rPr>
              <w:t>1</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2"/>
                <w:sz w:val="24"/>
                <w:szCs w:val="24"/>
                <w14:textOutline w14:w="4000" w14:cap="flat" w14:cmpd="sng" w14:algn="ctr">
                  <w14:solidFill>
                    <w14:srgbClr w14:val="000000"/>
                  </w14:solidFill>
                  <w14:prstDash w14:val="solid"/>
                  <w14:miter w14:val="0"/>
                </w14:textOutline>
              </w:rPr>
              <w:t>守法承诺书（需法人签字）</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3"/>
                <w:sz w:val="24"/>
                <w:szCs w:val="24"/>
                <w14:textOutline w14:w="4000" w14:cap="flat" w14:cmpd="sng" w14:algn="ctr">
                  <w14:solidFill>
                    <w14:srgbClr w14:val="000000"/>
                  </w14:solidFill>
                  <w14:prstDash w14:val="solid"/>
                  <w14:miter w14:val="0"/>
                </w14:textOutline>
              </w:rPr>
              <w:t>必须项。模板见网站首页底部。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64"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2</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72" w:line="240" w:lineRule="atLeast"/>
              <w:ind w:right="134"/>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符合建设项目环境影响评价程序的相关文件或</w:t>
            </w:r>
            <w:r>
              <w:rPr>
                <w:rFonts w:ascii="Times New Roman" w:hAnsi="Times New Roman" w:eastAsia="宋体" w:cs="宋体"/>
                <w:spacing w:val="-2"/>
                <w:sz w:val="24"/>
                <w:szCs w:val="24"/>
              </w:rPr>
              <w:t>证明材料</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240" w:lineRule="atLeast"/>
              <w:ind w:right="27"/>
              <w:jc w:val="center"/>
              <w:textAlignment w:val="baseline"/>
              <w:rPr>
                <w:rFonts w:ascii="Times New Roman" w:hAnsi="Times New Roman" w:eastAsia="宋体" w:cs="宋体"/>
                <w:sz w:val="24"/>
                <w:szCs w:val="24"/>
              </w:rPr>
            </w:pPr>
            <w:r>
              <w:rPr>
                <w:rFonts w:ascii="Times New Roman" w:hAnsi="Times New Roman" w:eastAsia="宋体" w:cs="宋体"/>
                <w:spacing w:val="-11"/>
                <w:sz w:val="24"/>
                <w:szCs w:val="24"/>
              </w:rPr>
              <w:t>必须上传：上传项目相关的环评</w:t>
            </w:r>
            <w:r>
              <w:rPr>
                <w:rFonts w:hint="eastAsia" w:ascii="Times New Roman" w:hAnsi="Times New Roman" w:eastAsia="宋体" w:cs="宋体"/>
                <w:spacing w:val="-11"/>
                <w:sz w:val="24"/>
                <w:szCs w:val="24"/>
              </w:rPr>
              <w:t>文件环评批复</w:t>
            </w:r>
            <w:r>
              <w:rPr>
                <w:rFonts w:ascii="Times New Roman" w:hAnsi="Times New Roman" w:eastAsia="宋体" w:cs="宋体"/>
                <w:spacing w:val="-11"/>
                <w:sz w:val="24"/>
                <w:szCs w:val="24"/>
              </w:rPr>
              <w:t>、</w:t>
            </w:r>
            <w:r>
              <w:rPr>
                <w:rFonts w:hint="eastAsia" w:ascii="Times New Roman" w:hAnsi="Times New Roman" w:eastAsia="宋体" w:cs="宋体"/>
                <w:spacing w:val="-11"/>
                <w:sz w:val="24"/>
                <w:szCs w:val="24"/>
              </w:rPr>
              <w:t>备案文件（如有）</w:t>
            </w:r>
            <w:r>
              <w:rPr>
                <w:rFonts w:ascii="Times New Roman" w:hAnsi="Times New Roman" w:eastAsia="宋体" w:cs="宋体"/>
                <w:spacing w:val="-11"/>
                <w:sz w:val="24"/>
                <w:szCs w:val="24"/>
              </w:rPr>
              <w:t>。</w:t>
            </w:r>
            <w:r>
              <w:rPr>
                <w:rFonts w:ascii="Times New Roman" w:hAnsi="Times New Roman" w:eastAsia="宋体" w:cs="宋体"/>
                <w:spacing w:val="-14"/>
                <w:sz w:val="24"/>
                <w:szCs w:val="24"/>
              </w:rPr>
              <w:t>建议上传：验收报告、验收批复等</w:t>
            </w:r>
            <w:r>
              <w:rPr>
                <w:rFonts w:ascii="Times New Roman" w:hAnsi="Times New Roman" w:eastAsia="宋体" w:cs="宋体"/>
                <w:spacing w:val="-2"/>
                <w:sz w:val="24"/>
                <w:szCs w:val="24"/>
              </w:rPr>
              <w:t>相关材料。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83"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3</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排污许可证申领信息公开情况说明表</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3"/>
                <w:sz w:val="24"/>
                <w:szCs w:val="24"/>
              </w:rPr>
              <w:t>简化管理企业不需要上传。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83"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4</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通过排污权交易获取排污权指标的证明材料</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80"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245"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5</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7" w:line="240" w:lineRule="atLeast"/>
              <w:ind w:right="134"/>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城镇污水集中处理设施应提供纳污范围、管网布置、排放去向等材料</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7" w:line="240" w:lineRule="atLeast"/>
              <w:ind w:right="181"/>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属于城镇污水集中处理设施的必</w:t>
            </w:r>
            <w:r>
              <w:rPr>
                <w:rFonts w:ascii="Times New Roman" w:hAnsi="Times New Roman" w:eastAsia="宋体" w:cs="宋体"/>
                <w:spacing w:val="-3"/>
                <w:sz w:val="24"/>
                <w:szCs w:val="24"/>
              </w:rPr>
              <w:t>须上传。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239"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6</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202"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排污口和监测孔规范化设置情况说明材料</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4" w:line="240" w:lineRule="atLeast"/>
              <w:ind w:right="103"/>
              <w:jc w:val="center"/>
              <w:textAlignment w:val="baseline"/>
              <w:rPr>
                <w:rFonts w:ascii="Times New Roman" w:hAnsi="Times New Roman" w:eastAsia="宋体" w:cs="宋体"/>
                <w:sz w:val="24"/>
                <w:szCs w:val="24"/>
              </w:rPr>
            </w:pPr>
            <w:r>
              <w:rPr>
                <w:rFonts w:ascii="Times New Roman" w:hAnsi="Times New Roman" w:eastAsia="宋体" w:cs="宋体"/>
                <w:spacing w:val="-5"/>
                <w:sz w:val="24"/>
                <w:szCs w:val="24"/>
              </w:rPr>
              <w:t>上传排污口、监测孔已规范化设置的证明材料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243"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7</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5" w:line="240" w:lineRule="atLeast"/>
              <w:ind w:right="134"/>
              <w:jc w:val="center"/>
              <w:textAlignment w:val="baseline"/>
              <w:rPr>
                <w:rFonts w:ascii="Times New Roman" w:hAnsi="Times New Roman" w:eastAsia="宋体" w:cs="宋体"/>
                <w:sz w:val="24"/>
                <w:szCs w:val="24"/>
              </w:rPr>
            </w:pPr>
            <w:r>
              <w:rPr>
                <w:rFonts w:ascii="Times New Roman" w:hAnsi="Times New Roman" w:eastAsia="宋体" w:cs="宋体"/>
                <w:spacing w:val="-9"/>
                <w:sz w:val="24"/>
                <w:szCs w:val="24"/>
              </w:rPr>
              <w:t>达标证明材料（说明：包括环评、监测数据证</w:t>
            </w:r>
            <w:r>
              <w:rPr>
                <w:rFonts w:ascii="Times New Roman" w:hAnsi="Times New Roman" w:eastAsia="宋体" w:cs="宋体"/>
                <w:spacing w:val="-4"/>
                <w:sz w:val="24"/>
                <w:szCs w:val="24"/>
              </w:rPr>
              <w:t>明、工程数据证明等）</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5" w:line="240" w:lineRule="atLeast"/>
              <w:ind w:right="182"/>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按要求上传相关能证明达标排放</w:t>
            </w:r>
            <w:r>
              <w:rPr>
                <w:rFonts w:ascii="Times New Roman" w:hAnsi="Times New Roman" w:eastAsia="宋体" w:cs="宋体"/>
                <w:spacing w:val="-6"/>
                <w:sz w:val="24"/>
                <w:szCs w:val="24"/>
              </w:rPr>
              <w:t>的材料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63"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8</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72"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2"/>
                <w:sz w:val="24"/>
                <w:szCs w:val="24"/>
              </w:rPr>
              <w:t>生产工艺流程图</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7"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15"/>
                <w:sz w:val="24"/>
                <w:szCs w:val="24"/>
              </w:rPr>
              <w:t>建议包括主要生产设施（设备）、</w:t>
            </w:r>
            <w:r>
              <w:rPr>
                <w:rFonts w:ascii="Times New Roman" w:hAnsi="Times New Roman" w:eastAsia="宋体" w:cs="宋体"/>
                <w:spacing w:val="-14"/>
                <w:sz w:val="24"/>
                <w:szCs w:val="24"/>
              </w:rPr>
              <w:t>主要原辅料的流向、产排污节点，</w:t>
            </w:r>
            <w:r>
              <w:rPr>
                <w:rFonts w:ascii="Times New Roman" w:hAnsi="Times New Roman" w:eastAsia="宋体" w:cs="宋体"/>
                <w:spacing w:val="-3"/>
                <w:sz w:val="24"/>
                <w:szCs w:val="24"/>
              </w:rPr>
              <w:t>生产工艺流程等内容。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63"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9</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72"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生产厂区总平面布置图</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7"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5"/>
                <w:sz w:val="24"/>
                <w:szCs w:val="24"/>
              </w:rPr>
              <w:t>应包括主要工序、厂房、设备位置</w:t>
            </w:r>
            <w:r>
              <w:rPr>
                <w:rFonts w:ascii="Times New Roman" w:hAnsi="Times New Roman" w:eastAsia="宋体" w:cs="宋体"/>
                <w:spacing w:val="-14"/>
                <w:sz w:val="24"/>
                <w:szCs w:val="24"/>
              </w:rPr>
              <w:t>关系，注明厂区雨水、污水收集和</w:t>
            </w:r>
            <w:r>
              <w:rPr>
                <w:rFonts w:ascii="Times New Roman" w:hAnsi="Times New Roman" w:eastAsia="宋体" w:cs="宋体"/>
                <w:spacing w:val="-1"/>
                <w:sz w:val="24"/>
                <w:szCs w:val="24"/>
              </w:rPr>
              <w:t>运输走向等内容。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241"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spacing w:val="-7"/>
                <w:sz w:val="24"/>
                <w:szCs w:val="24"/>
              </w:rPr>
              <w:t>10</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203"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监测点位示意图</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6" w:line="240" w:lineRule="atLeast"/>
              <w:ind w:right="182"/>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应包括上述自行监测要求中的所</w:t>
            </w:r>
            <w:r>
              <w:rPr>
                <w:rFonts w:ascii="Times New Roman" w:hAnsi="Times New Roman" w:eastAsia="宋体" w:cs="宋体"/>
                <w:spacing w:val="-2"/>
                <w:sz w:val="24"/>
                <w:szCs w:val="24"/>
              </w:rPr>
              <w:t>有监测点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63"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b/>
                <w:bCs/>
                <w:spacing w:val="-4"/>
                <w:sz w:val="24"/>
                <w:szCs w:val="24"/>
              </w:rPr>
              <w:t>11</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71"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3"/>
                <w:sz w:val="24"/>
                <w:szCs w:val="24"/>
                <w14:textOutline w14:w="4000" w14:cap="flat" w14:cmpd="sng" w14:algn="ctr">
                  <w14:solidFill>
                    <w14:srgbClr w14:val="000000"/>
                  </w14:solidFill>
                  <w14:prstDash w14:val="solid"/>
                  <w14:miter w14:val="0"/>
                </w14:textOutline>
              </w:rPr>
              <w:t>申请年排放量限值计算过程</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50" w:line="240" w:lineRule="atLeast"/>
              <w:jc w:val="center"/>
              <w:textAlignment w:val="baseline"/>
              <w:rPr>
                <w:rFonts w:ascii="Times New Roman" w:hAnsi="Times New Roman" w:eastAsia="宋体" w:cs="宋体"/>
                <w:sz w:val="24"/>
                <w:szCs w:val="24"/>
              </w:rPr>
            </w:pPr>
            <w:r>
              <w:rPr>
                <w:rFonts w:ascii="Times New Roman" w:hAnsi="Times New Roman" w:eastAsia="宋体" w:cs="宋体"/>
                <w:sz w:val="24"/>
                <w:szCs w:val="24"/>
                <w14:textOutline w14:w="4000" w14:cap="flat" w14:cmpd="sng" w14:algn="ctr">
                  <w14:solidFill>
                    <w14:srgbClr w14:val="000000"/>
                  </w14:solidFill>
                  <w14:prstDash w14:val="solid"/>
                  <w14:miter w14:val="0"/>
                </w14:textOutline>
              </w:rPr>
              <w:t>对于需要核定许可排放量的排污</w:t>
            </w:r>
            <w:r>
              <w:rPr>
                <w:rFonts w:ascii="Times New Roman" w:hAnsi="Times New Roman" w:eastAsia="宋体" w:cs="宋体"/>
                <w:spacing w:val="-14"/>
                <w:sz w:val="24"/>
                <w:szCs w:val="24"/>
                <w14:textOutline w14:w="4000" w14:cap="flat" w14:cmpd="sng" w14:algn="ctr">
                  <w14:solidFill>
                    <w14:srgbClr w14:val="000000"/>
                  </w14:solidFill>
                  <w14:prstDash w14:val="solid"/>
                  <w14:miter w14:val="0"/>
                </w14:textOutline>
              </w:rPr>
              <w:t>单位，属于必须项。参考模板见本</w:t>
            </w:r>
            <w:r>
              <w:rPr>
                <w:rFonts w:ascii="Times New Roman" w:hAnsi="Times New Roman" w:eastAsia="宋体" w:cs="宋体"/>
                <w:spacing w:val="-4"/>
                <w:sz w:val="24"/>
                <w:szCs w:val="24"/>
                <w14:textOutline w14:w="4000" w14:cap="flat" w14:cmpd="sng" w14:algn="ctr">
                  <w14:solidFill>
                    <w14:srgbClr w14:val="000000"/>
                  </w14:solidFill>
                  <w14:prstDash w14:val="solid"/>
                  <w14:miter w14:val="0"/>
                </w14:textOutline>
              </w:rPr>
              <w:t>指南附件一、附件二。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63" w:line="240" w:lineRule="atLeast"/>
              <w:jc w:val="center"/>
              <w:textAlignment w:val="baseline"/>
              <w:rPr>
                <w:rFonts w:ascii="Times New Roman" w:hAnsi="Times New Roman" w:eastAsia="宋体" w:cs="Times New Roman"/>
                <w:sz w:val="24"/>
                <w:szCs w:val="24"/>
              </w:rPr>
            </w:pPr>
            <w:r>
              <w:rPr>
                <w:rFonts w:hint="eastAsia" w:ascii="Times New Roman" w:hAnsi="Times New Roman" w:eastAsia="宋体" w:cs="Times New Roman"/>
                <w:b/>
                <w:bCs/>
                <w:spacing w:val="-4"/>
                <w:sz w:val="24"/>
                <w:szCs w:val="24"/>
              </w:rPr>
              <w:t>1</w:t>
            </w:r>
            <w:r>
              <w:rPr>
                <w:rFonts w:ascii="Times New Roman" w:hAnsi="Times New Roman" w:eastAsia="宋体" w:cs="Times New Roman"/>
                <w:b/>
                <w:bCs/>
                <w:spacing w:val="-4"/>
                <w:sz w:val="24"/>
                <w:szCs w:val="24"/>
              </w:rPr>
              <w:t>2</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71"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5"/>
                <w:sz w:val="24"/>
                <w:szCs w:val="24"/>
                <w14:textOutline w14:w="4000" w14:cap="flat" w14:cmpd="sng" w14:algn="ctr">
                  <w14:solidFill>
                    <w14:srgbClr w14:val="000000"/>
                  </w14:solidFill>
                  <w14:prstDash w14:val="solid"/>
                  <w14:miter w14:val="0"/>
                </w14:textOutline>
              </w:rPr>
              <w:t>自行监测相关材料</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8" w:line="240" w:lineRule="atLeast"/>
              <w:jc w:val="center"/>
              <w:textAlignment w:val="baseline"/>
              <w:rPr>
                <w:rFonts w:ascii="Times New Roman" w:hAnsi="Times New Roman" w:eastAsia="宋体" w:cs="宋体"/>
                <w:sz w:val="24"/>
                <w:szCs w:val="24"/>
              </w:rPr>
            </w:pPr>
            <w:r>
              <w:rPr>
                <w:rFonts w:ascii="Times New Roman" w:hAnsi="Times New Roman" w:eastAsia="宋体" w:cs="宋体"/>
                <w:sz w:val="24"/>
                <w:szCs w:val="24"/>
                <w14:textOutline w14:w="4000" w14:cap="flat" w14:cmpd="sng" w14:algn="ctr">
                  <w14:solidFill>
                    <w14:srgbClr w14:val="000000"/>
                  </w14:solidFill>
                  <w14:prstDash w14:val="solid"/>
                  <w14:miter w14:val="0"/>
                </w14:textOutline>
              </w:rPr>
              <w:t>应上传符合技术规范或指南的监</w:t>
            </w:r>
            <w:r>
              <w:rPr>
                <w:rFonts w:ascii="Times New Roman" w:hAnsi="Times New Roman" w:eastAsia="宋体" w:cs="宋体"/>
                <w:spacing w:val="-6"/>
                <w:sz w:val="24"/>
                <w:szCs w:val="24"/>
                <w14:textOutline w14:w="4000" w14:cap="flat" w14:cmpd="sng" w14:algn="ctr">
                  <w14:solidFill>
                    <w14:srgbClr w14:val="000000"/>
                  </w14:solidFill>
                  <w14:prstDash w14:val="solid"/>
                  <w14:miter w14:val="0"/>
                </w14:textOutline>
              </w:rPr>
              <w:t>测方案，即监测指标、监测频次等</w:t>
            </w:r>
            <w:r>
              <w:rPr>
                <w:rFonts w:ascii="Times New Roman" w:hAnsi="Times New Roman" w:eastAsia="宋体" w:cs="宋体"/>
                <w:spacing w:val="-2"/>
                <w:sz w:val="24"/>
                <w:szCs w:val="24"/>
                <w14:textOutline w14:w="4000" w14:cap="flat" w14:cmpd="sng" w14:algn="ctr">
                  <w14:solidFill>
                    <w14:srgbClr w14:val="000000"/>
                  </w14:solidFill>
                  <w14:prstDash w14:val="solid"/>
                  <w14:miter w14:val="0"/>
                </w14:textOutline>
              </w:rPr>
              <w:t>内容应符合行业技术规范或行业</w:t>
            </w:r>
            <w:r>
              <w:rPr>
                <w:rFonts w:ascii="Times New Roman" w:hAnsi="Times New Roman" w:eastAsia="宋体" w:cs="宋体"/>
                <w:spacing w:val="-8"/>
                <w:sz w:val="24"/>
                <w:szCs w:val="24"/>
                <w14:textOutline w14:w="4000" w14:cap="flat" w14:cmpd="sng" w14:algn="ctr">
                  <w14:solidFill>
                    <w14:srgbClr w14:val="000000"/>
                  </w14:solidFill>
                  <w14:prstDash w14:val="solid"/>
                  <w14:miter w14:val="0"/>
                </w14:textOutline>
              </w:rPr>
              <w:t>自行监测技术指南的要求。参考模</w:t>
            </w:r>
            <w:r>
              <w:rPr>
                <w:rFonts w:ascii="Times New Roman" w:hAnsi="Times New Roman" w:eastAsia="宋体" w:cs="宋体"/>
                <w:spacing w:val="-1"/>
                <w:sz w:val="24"/>
                <w:szCs w:val="24"/>
                <w14:textOutline w14:w="4000" w14:cap="flat" w14:cmpd="sng" w14:algn="ctr">
                  <w14:solidFill>
                    <w14:srgbClr w14:val="000000"/>
                  </w14:solidFill>
                  <w14:prstDash w14:val="solid"/>
                  <w14:miter w14:val="0"/>
                </w14:textOutline>
              </w:rPr>
              <w:t>板见本指南附件三。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86"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spacing w:val="-7"/>
                <w:sz w:val="24"/>
                <w:szCs w:val="24"/>
              </w:rPr>
              <w:t>13</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9"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1"/>
                <w:sz w:val="24"/>
                <w:szCs w:val="24"/>
              </w:rPr>
              <w:t>地方规定排污许可证申请表文件</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83"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400" w:type="pct"/>
            <w:vAlign w:val="center"/>
          </w:tcPr>
          <w:p>
            <w:pPr>
              <w:keepNext w:val="0"/>
              <w:keepLines w:val="0"/>
              <w:pageBreakBefore w:val="0"/>
              <w:widowControl/>
              <w:kinsoku w:val="0"/>
              <w:wordWrap/>
              <w:overflowPunct/>
              <w:topLinePunct w:val="0"/>
              <w:autoSpaceDE w:val="0"/>
              <w:autoSpaceDN w:val="0"/>
              <w:bidi w:val="0"/>
              <w:adjustRightInd w:val="0"/>
              <w:snapToGrid w:val="0"/>
              <w:spacing w:before="64" w:line="240" w:lineRule="atLeast"/>
              <w:jc w:val="center"/>
              <w:textAlignment w:val="baseline"/>
              <w:rPr>
                <w:rFonts w:ascii="Times New Roman" w:hAnsi="Times New Roman" w:eastAsia="宋体" w:cs="Times New Roman"/>
                <w:sz w:val="24"/>
                <w:szCs w:val="24"/>
              </w:rPr>
            </w:pPr>
            <w:r>
              <w:rPr>
                <w:rFonts w:ascii="Times New Roman" w:hAnsi="Times New Roman" w:eastAsia="宋体" w:cs="Times New Roman"/>
                <w:spacing w:val="-7"/>
                <w:sz w:val="24"/>
                <w:szCs w:val="24"/>
              </w:rPr>
              <w:t>14</w:t>
            </w:r>
          </w:p>
        </w:tc>
        <w:tc>
          <w:tcPr>
            <w:tcW w:w="2173" w:type="pct"/>
            <w:vAlign w:val="center"/>
          </w:tcPr>
          <w:p>
            <w:pPr>
              <w:keepNext w:val="0"/>
              <w:keepLines w:val="0"/>
              <w:pageBreakBefore w:val="0"/>
              <w:widowControl/>
              <w:kinsoku w:val="0"/>
              <w:wordWrap/>
              <w:overflowPunct/>
              <w:topLinePunct w:val="0"/>
              <w:autoSpaceDE w:val="0"/>
              <w:autoSpaceDN w:val="0"/>
              <w:bidi w:val="0"/>
              <w:adjustRightInd w:val="0"/>
              <w:snapToGrid w:val="0"/>
              <w:spacing w:before="72" w:line="240" w:lineRule="atLeast"/>
              <w:jc w:val="center"/>
              <w:textAlignment w:val="baseline"/>
              <w:rPr>
                <w:rFonts w:ascii="Times New Roman" w:hAnsi="Times New Roman" w:eastAsia="宋体" w:cs="宋体"/>
                <w:sz w:val="24"/>
                <w:szCs w:val="24"/>
              </w:rPr>
            </w:pPr>
            <w:r>
              <w:rPr>
                <w:rFonts w:ascii="Times New Roman" w:hAnsi="Times New Roman" w:eastAsia="宋体" w:cs="宋体"/>
                <w:spacing w:val="-2"/>
                <w:sz w:val="24"/>
                <w:szCs w:val="24"/>
              </w:rPr>
              <w:t>其他</w:t>
            </w:r>
          </w:p>
        </w:tc>
        <w:tc>
          <w:tcPr>
            <w:tcW w:w="2426" w:type="pct"/>
            <w:vAlign w:val="center"/>
          </w:tcPr>
          <w:p>
            <w:pPr>
              <w:keepNext w:val="0"/>
              <w:keepLines w:val="0"/>
              <w:pageBreakBefore w:val="0"/>
              <w:widowControl/>
              <w:kinsoku w:val="0"/>
              <w:wordWrap/>
              <w:overflowPunct/>
              <w:topLinePunct w:val="0"/>
              <w:autoSpaceDE w:val="0"/>
              <w:autoSpaceDN w:val="0"/>
              <w:bidi w:val="0"/>
              <w:adjustRightInd w:val="0"/>
              <w:snapToGrid w:val="0"/>
              <w:spacing w:before="48" w:line="240" w:lineRule="atLeast"/>
              <w:ind w:right="103"/>
              <w:jc w:val="center"/>
              <w:textAlignment w:val="baseline"/>
              <w:rPr>
                <w:rFonts w:ascii="Times New Roman" w:hAnsi="Times New Roman" w:eastAsia="宋体" w:cs="宋体"/>
                <w:sz w:val="24"/>
                <w:szCs w:val="24"/>
              </w:rPr>
            </w:pPr>
            <w:r>
              <w:rPr>
                <w:rFonts w:ascii="Times New Roman" w:hAnsi="Times New Roman" w:eastAsia="宋体" w:cs="宋体"/>
                <w:spacing w:val="-5"/>
                <w:sz w:val="24"/>
                <w:szCs w:val="24"/>
              </w:rPr>
              <w:t>上传固废合同、其他需要说明的材</w:t>
            </w:r>
            <w:r>
              <w:rPr>
                <w:rFonts w:ascii="Times New Roman" w:hAnsi="Times New Roman" w:eastAsia="宋体" w:cs="宋体"/>
                <w:spacing w:val="-3"/>
                <w:sz w:val="24"/>
                <w:szCs w:val="24"/>
              </w:rPr>
              <w:t>料等。</w:t>
            </w:r>
            <w:r>
              <w:rPr>
                <w:rFonts w:ascii="Times New Roman" w:hAnsi="Times New Roman" w:eastAsia="宋体" w:cs="宋体"/>
                <w:spacing w:val="-12"/>
                <w:sz w:val="24"/>
                <w:szCs w:val="24"/>
              </w:rPr>
              <w:t>对于限期整改类的企业，需上传整改承诺和整改方案，相关模板可咨</w:t>
            </w:r>
            <w:r>
              <w:rPr>
                <w:rFonts w:ascii="Times New Roman" w:hAnsi="Times New Roman" w:eastAsia="宋体" w:cs="宋体"/>
                <w:spacing w:val="-2"/>
                <w:sz w:val="24"/>
                <w:szCs w:val="24"/>
              </w:rPr>
              <w:t>询所在区生态环境主管部门。</w:t>
            </w:r>
          </w:p>
        </w:tc>
      </w:tr>
    </w:tbl>
    <w:p>
      <w:pPr>
        <w:keepNext w:val="0"/>
        <w:keepLines w:val="0"/>
        <w:pageBreakBefore w:val="0"/>
        <w:wordWrap/>
        <w:overflowPunct/>
        <w:topLinePunct w:val="0"/>
        <w:bidi w:val="0"/>
        <w:spacing w:line="360" w:lineRule="auto"/>
        <w:rPr>
          <w:rFonts w:ascii="Times New Roman" w:hAnsi="Times New Roman"/>
        </w:rPr>
      </w:pPr>
    </w:p>
    <w:p>
      <w:pPr>
        <w:keepNext w:val="0"/>
        <w:keepLines w:val="0"/>
        <w:pageBreakBefore w:val="0"/>
        <w:wordWrap/>
        <w:overflowPunct/>
        <w:topLinePunct w:val="0"/>
        <w:bidi w:val="0"/>
        <w:spacing w:line="360" w:lineRule="auto"/>
        <w:rPr>
          <w:rFonts w:ascii="Times New Roman" w:hAnsi="Times New Roman"/>
        </w:rPr>
        <w:sectPr>
          <w:footerReference r:id="rId16" w:type="default"/>
          <w:pgSz w:w="11907" w:h="16839"/>
          <w:pgMar w:top="1431" w:right="1531" w:bottom="1375" w:left="1157" w:header="0" w:footer="1259" w:gutter="0"/>
          <w:pgNumType w:fmt="decimal"/>
          <w:cols w:space="720" w:num="1"/>
        </w:sectPr>
      </w:pPr>
    </w:p>
    <w:p>
      <w:pPr>
        <w:keepNext w:val="0"/>
        <w:keepLines w:val="0"/>
        <w:pageBreakBefore w:val="0"/>
        <w:wordWrap/>
        <w:overflowPunct/>
        <w:topLinePunct w:val="0"/>
        <w:bidi w:val="0"/>
        <w:spacing w:before="272" w:line="360" w:lineRule="auto"/>
        <w:ind w:firstLine="13"/>
        <w:outlineLvl w:val="9"/>
        <w:rPr>
          <w:rFonts w:ascii="Times New Roman" w:hAnsi="Times New Roman" w:eastAsia="宋体" w:cs="宋体"/>
          <w:spacing w:val="-6"/>
          <w:sz w:val="32"/>
          <w:szCs w:val="32"/>
          <w14:textOutline w14:w="5791" w14:cap="flat" w14:cmpd="sng" w14:algn="ctr">
            <w14:solidFill>
              <w14:srgbClr w14:val="000000"/>
            </w14:solidFill>
            <w14:prstDash w14:val="solid"/>
            <w14:miter w14:val="0"/>
          </w14:textOutline>
        </w:rPr>
        <w:sectPr>
          <w:footerReference r:id="rId17" w:type="default"/>
          <w:type w:val="continuous"/>
          <w:pgSz w:w="11907" w:h="16839"/>
          <w:pgMar w:top="1431" w:right="1123" w:bottom="400" w:left="1113" w:header="0" w:footer="0" w:gutter="0"/>
          <w:pgNumType w:fmt="decimal"/>
          <w:cols w:equalWidth="0" w:num="1">
            <w:col w:w="9670"/>
          </w:cols>
        </w:sectPr>
      </w:pPr>
    </w:p>
    <w:p>
      <w:pPr>
        <w:keepNext w:val="0"/>
        <w:keepLines w:val="0"/>
        <w:pageBreakBefore w:val="0"/>
        <w:wordWrap/>
        <w:overflowPunct/>
        <w:topLinePunct w:val="0"/>
        <w:bidi w:val="0"/>
        <w:spacing w:before="272" w:line="360" w:lineRule="auto"/>
        <w:ind w:firstLine="13"/>
        <w:outlineLvl w:val="1"/>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pPr>
      <w:bookmarkStart w:id="60" w:name="_Toc12199"/>
      <w:r>
        <w:rPr>
          <w:rFonts w:ascii="Times New Roman" w:hAnsi="Times New Roman" w:eastAsia="宋体" w:cs="宋体"/>
          <w:spacing w:val="-6"/>
          <w:sz w:val="28"/>
          <w:szCs w:val="28"/>
          <w14:textOutline w14:w="5791" w14:cap="flat" w14:cmpd="sng" w14:algn="ctr">
            <w14:solidFill>
              <w14:srgbClr w14:val="000000"/>
            </w14:solidFill>
            <w14:prstDash w14:val="solid"/>
            <w14:miter w14:val="0"/>
          </w14:textOutline>
        </w:rPr>
        <w:t>18、提交申请</w:t>
      </w:r>
      <w:bookmarkEnd w:id="6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（1）可下载保存“排污许可申请表”，即系统所填全部表单内容；若系统填报表单有更新，此表也应更新后重新下载。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heme="minorBidi"/>
          <w:snapToGrid/>
          <w:kern w:val="2"/>
          <w:sz w:val="24"/>
          <w:szCs w:val="24"/>
        </w:rPr>
      </w:pPr>
      <w:r>
        <w:rPr>
          <w:rFonts w:hint="eastAsia" w:ascii="Times New Roman" w:hAnsi="Times New Roman" w:eastAsia="宋体" w:cstheme="minorBidi"/>
          <w:snapToGrid/>
          <w:kern w:val="2"/>
          <w:sz w:val="24"/>
          <w:szCs w:val="24"/>
        </w:rPr>
        <w:t>（2）“提交审批级别”：武汉市除了市管企业需选择“市”外，其他企业选择“区和县”。</w:t>
      </w:r>
    </w:p>
    <w:p>
      <w:pPr>
        <w:keepNext w:val="0"/>
        <w:keepLines w:val="0"/>
        <w:pageBreakBefore w:val="0"/>
        <w:wordWrap/>
        <w:overflowPunct/>
        <w:topLinePunct w:val="0"/>
        <w:bidi w:val="0"/>
        <w:spacing w:line="360" w:lineRule="auto"/>
        <w:rPr>
          <w:rFonts w:ascii="Times New Roman" w:hAnsi="Times New Roman"/>
        </w:rPr>
      </w:pPr>
      <w:r>
        <w:rPr>
          <w:rFonts w:ascii="Times New Roman" w:hAnsi="Times New Roman"/>
        </w:rPr>
        <w:drawing>
          <wp:inline distT="0" distB="0" distL="114300" distR="114300">
            <wp:extent cx="6123940" cy="1734820"/>
            <wp:effectExtent l="9525" t="9525" r="19685" b="27305"/>
            <wp:docPr id="8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
                    <pic:cNvPicPr>
                      <a:picLocks noChangeAspect="1"/>
                    </pic:cNvPicPr>
                  </pic:nvPicPr>
                  <pic:blipFill>
                    <a:blip r:embed="rId39"/>
                    <a:stretch>
                      <a:fillRect/>
                    </a:stretch>
                  </pic:blipFill>
                  <pic:spPr>
                    <a:xfrm>
                      <a:off x="0" y="0"/>
                      <a:ext cx="6123940" cy="1734820"/>
                    </a:xfrm>
                    <a:prstGeom prst="rect">
                      <a:avLst/>
                    </a:prstGeom>
                    <a:noFill/>
                    <a:ln>
                      <a:solidFill>
                        <a:schemeClr val="tx1"/>
                      </a:solidFill>
                    </a:ln>
                  </pic:spPr>
                </pic:pic>
              </a:graphicData>
            </a:graphic>
          </wp:inline>
        </w:drawing>
      </w:r>
    </w:p>
    <w:p>
      <w:pPr>
        <w:keepNext w:val="0"/>
        <w:keepLines w:val="0"/>
        <w:pageBreakBefore w:val="0"/>
        <w:wordWrap/>
        <w:overflowPunct/>
        <w:topLinePunct w:val="0"/>
        <w:bidi w:val="0"/>
        <w:spacing w:line="360" w:lineRule="auto"/>
        <w:rPr>
          <w:rFonts w:ascii="Times New Roman" w:hAnsi="Times New Roman" w:eastAsia="Calibri" w:cs="Calibri"/>
          <w:sz w:val="18"/>
          <w:szCs w:val="18"/>
        </w:rPr>
      </w:pPr>
    </w:p>
    <w:p>
      <w:pPr>
        <w:keepNext w:val="0"/>
        <w:keepLines w:val="0"/>
        <w:pageBreakBefore w:val="0"/>
        <w:wordWrap/>
        <w:overflowPunct/>
        <w:topLinePunct w:val="0"/>
        <w:bidi w:val="0"/>
        <w:spacing w:line="360" w:lineRule="auto"/>
        <w:rPr>
          <w:rFonts w:ascii="Times New Roman" w:hAnsi="Times New Roman" w:eastAsia="Calibri" w:cs="Calibri"/>
          <w:sz w:val="18"/>
          <w:szCs w:val="18"/>
        </w:rPr>
      </w:pPr>
      <w:bookmarkStart w:id="61" w:name="_GoBack"/>
      <w:bookmarkEnd w:id="61"/>
    </w:p>
    <w:sectPr>
      <w:footerReference r:id="rId18" w:type="default"/>
      <w:pgSz w:w="11907" w:h="16839"/>
      <w:pgMar w:top="1431" w:right="1123" w:bottom="400" w:left="1113" w:header="0" w:footer="0" w:gutter="0"/>
      <w:pgNumType w:fmt="decimal"/>
      <w:cols w:equalWidth="0" w:num="1">
        <w:col w:w="967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4" w:lineRule="exact"/>
      <w:ind w:firstLine="4160"/>
      <w:rPr>
        <w:rFonts w:ascii="Calibri" w:hAnsi="Calibri" w:eastAsia="Calibri" w:cs="Calibri"/>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5" w:lineRule="exact"/>
      <w:ind w:firstLine="4736"/>
      <w:rPr>
        <w:rFonts w:ascii="Calibri" w:hAnsi="Calibri" w:eastAsia="Calibri" w:cs="Calibri"/>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rPr>
        <w:rFonts w:ascii="Calibri" w:hAnsi="Calibri" w:eastAsia="Calibri" w:cs="Calibri"/>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4747"/>
      <w:rPr>
        <w:rFonts w:ascii="Calibri" w:hAnsi="Calibri" w:eastAsia="Calibri" w:cs="Calibri"/>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19</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riWDUhECAAAJBAAADgAAAAAAAAABACAA&#10;AAAfAQAAZHJzL2Uyb0RvYy54bWxQSwUGAAAAAAYABgBZAQAAogUAAAAA&#10;">
              <v:fill on="f" focussize="0,0"/>
              <v:stroke on="f" weight="0.5pt"/>
              <v:imagedata o:title=""/>
              <o:lock v:ext="edit" aspectratio="f"/>
              <v:textbox inset="0mm,0mm,0mm,0mm" style="mso-fit-shape-to-text:t;">
                <w:txbxContent>
                  <w:p>
                    <w:pPr>
                      <w:pStyle w:val="5"/>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4728"/>
      <w:rPr>
        <w:rFonts w:ascii="Calibri" w:hAnsi="Calibri" w:eastAsia="Calibri" w:cs="Calibri"/>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4713"/>
      <w:rPr>
        <w:rFonts w:ascii="Calibri" w:hAnsi="Calibri" w:eastAsia="Calibri" w:cs="Calibri"/>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r>
      <w:rPr>
        <w:sz w:val="2"/>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r>
      <w:rPr>
        <w:sz w:val="2"/>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446"/>
      </w:tabs>
      <w:spacing w:line="114" w:lineRule="exact"/>
      <w:ind w:firstLine="4136"/>
      <w:rPr>
        <w:rFonts w:ascii="Calibri" w:hAnsi="Calibri" w:eastAsia="宋体"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QncoRAgAACQQAAA4AAABkcnMvZTJvRG9jLnhtbK1TzY7TMBC+I/EO&#10;lu80adGu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kRCdyhECAAAJBAAADgAAAAAAAAABACAA&#10;AAAfAQAAZHJzL2Uyb0RvYy54bWxQSwUGAAAAAAYABgBZAQAAogUAAAAA&#10;">
              <v:fill on="f" focussize="0,0"/>
              <v:stroke on="f" weight="0.5pt"/>
              <v:imagedata o:title=""/>
              <o:lock v:ext="edit" aspectratio="f"/>
              <v:textbox inset="0mm,0mm,0mm,0mm" style="mso-fit-shape-to-text:t;">
                <w:txbxContent>
                  <w:p>
                    <w:pPr>
                      <w:pStyle w:val="5"/>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446"/>
      </w:tabs>
      <w:spacing w:line="114" w:lineRule="exact"/>
      <w:ind w:firstLine="4136"/>
      <w:rPr>
        <w:rFonts w:ascii="Calibri" w:hAnsi="Calibri" w:eastAsia="宋体"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6928"/>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6930"/>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sz w:val="2"/>
      </w:rPr>
    </w:pPr>
    <w:r>
      <w:rPr>
        <w:sz w:val="2"/>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5" w:lineRule="exact"/>
      <w:ind w:firstLine="4733"/>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6" w:lineRule="exact"/>
      <w:ind w:firstLine="6889"/>
      <w:rPr>
        <w:rFonts w:ascii="Calibri" w:hAnsi="Calibri" w:eastAsia="Calibri" w:cs="Calibri"/>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4" w:lineRule="exact"/>
      <w:ind w:firstLine="6893"/>
      <w:rPr>
        <w:rFonts w:ascii="Calibri" w:hAnsi="Calibri" w:eastAsia="Calibri" w:cs="Calibri"/>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1D8C7D"/>
    <w:multiLevelType w:val="singleLevel"/>
    <w:tmpl w:val="861D8C7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rsids>
    <w:rsidRoot w:val="00172A27"/>
    <w:rsid w:val="00172A27"/>
    <w:rsid w:val="001A4716"/>
    <w:rsid w:val="001E44DD"/>
    <w:rsid w:val="001E5EBA"/>
    <w:rsid w:val="001E77A2"/>
    <w:rsid w:val="002B767D"/>
    <w:rsid w:val="00311A5F"/>
    <w:rsid w:val="00425A1B"/>
    <w:rsid w:val="00491724"/>
    <w:rsid w:val="004D6899"/>
    <w:rsid w:val="005E2B0B"/>
    <w:rsid w:val="005F481F"/>
    <w:rsid w:val="005F71B7"/>
    <w:rsid w:val="006B31C3"/>
    <w:rsid w:val="00732078"/>
    <w:rsid w:val="007D335E"/>
    <w:rsid w:val="00814795"/>
    <w:rsid w:val="00847F38"/>
    <w:rsid w:val="009124E0"/>
    <w:rsid w:val="00991ADF"/>
    <w:rsid w:val="00A3470B"/>
    <w:rsid w:val="00A44E88"/>
    <w:rsid w:val="00B32474"/>
    <w:rsid w:val="00B34E98"/>
    <w:rsid w:val="00B406C6"/>
    <w:rsid w:val="00B95099"/>
    <w:rsid w:val="00D254C4"/>
    <w:rsid w:val="00D64AE1"/>
    <w:rsid w:val="00DC0B97"/>
    <w:rsid w:val="00DE53DC"/>
    <w:rsid w:val="00DF3999"/>
    <w:rsid w:val="00EF2D82"/>
    <w:rsid w:val="00F06638"/>
    <w:rsid w:val="00F22DCC"/>
    <w:rsid w:val="00F94ED5"/>
    <w:rsid w:val="010916F7"/>
    <w:rsid w:val="011C44BE"/>
    <w:rsid w:val="012932B6"/>
    <w:rsid w:val="013467CA"/>
    <w:rsid w:val="014A2DD9"/>
    <w:rsid w:val="01675739"/>
    <w:rsid w:val="016E2F6B"/>
    <w:rsid w:val="017E784D"/>
    <w:rsid w:val="01A9632F"/>
    <w:rsid w:val="01AB7E6D"/>
    <w:rsid w:val="01C21E7D"/>
    <w:rsid w:val="01C506B1"/>
    <w:rsid w:val="01D803E5"/>
    <w:rsid w:val="01D85164"/>
    <w:rsid w:val="01DE6299"/>
    <w:rsid w:val="01E55EBE"/>
    <w:rsid w:val="01EE5E5A"/>
    <w:rsid w:val="01F114A6"/>
    <w:rsid w:val="02005B8D"/>
    <w:rsid w:val="0201252C"/>
    <w:rsid w:val="02100838"/>
    <w:rsid w:val="022A2A90"/>
    <w:rsid w:val="022A6766"/>
    <w:rsid w:val="024B215D"/>
    <w:rsid w:val="0250441F"/>
    <w:rsid w:val="026D5C3B"/>
    <w:rsid w:val="02702D13"/>
    <w:rsid w:val="02720839"/>
    <w:rsid w:val="028C4AA3"/>
    <w:rsid w:val="02980A79"/>
    <w:rsid w:val="02A227A1"/>
    <w:rsid w:val="02AB3D4B"/>
    <w:rsid w:val="02C44E0D"/>
    <w:rsid w:val="02CD59F6"/>
    <w:rsid w:val="02E51C21"/>
    <w:rsid w:val="02EA4873"/>
    <w:rsid w:val="02F76F90"/>
    <w:rsid w:val="03196F07"/>
    <w:rsid w:val="031A316B"/>
    <w:rsid w:val="033C1E80"/>
    <w:rsid w:val="03441E07"/>
    <w:rsid w:val="034920CB"/>
    <w:rsid w:val="03767EB5"/>
    <w:rsid w:val="037C6FB6"/>
    <w:rsid w:val="03A21632"/>
    <w:rsid w:val="03AE5D51"/>
    <w:rsid w:val="03B346AC"/>
    <w:rsid w:val="03CF27DA"/>
    <w:rsid w:val="03F92894"/>
    <w:rsid w:val="04053B9B"/>
    <w:rsid w:val="041B1889"/>
    <w:rsid w:val="042913CB"/>
    <w:rsid w:val="04310280"/>
    <w:rsid w:val="044F0706"/>
    <w:rsid w:val="04575F38"/>
    <w:rsid w:val="0466617C"/>
    <w:rsid w:val="047168CE"/>
    <w:rsid w:val="04965641"/>
    <w:rsid w:val="04A142AA"/>
    <w:rsid w:val="04C44A6F"/>
    <w:rsid w:val="04C865CE"/>
    <w:rsid w:val="04D70E27"/>
    <w:rsid w:val="04F5250B"/>
    <w:rsid w:val="04FA2D68"/>
    <w:rsid w:val="050634BB"/>
    <w:rsid w:val="05074713"/>
    <w:rsid w:val="052043E4"/>
    <w:rsid w:val="053015C2"/>
    <w:rsid w:val="05305B82"/>
    <w:rsid w:val="054671FA"/>
    <w:rsid w:val="05557F9E"/>
    <w:rsid w:val="0557339A"/>
    <w:rsid w:val="056703FD"/>
    <w:rsid w:val="057A317B"/>
    <w:rsid w:val="05917228"/>
    <w:rsid w:val="05926AFC"/>
    <w:rsid w:val="05941421"/>
    <w:rsid w:val="059837EB"/>
    <w:rsid w:val="0599432F"/>
    <w:rsid w:val="05A86320"/>
    <w:rsid w:val="05AE697F"/>
    <w:rsid w:val="05BB24F7"/>
    <w:rsid w:val="05C62F19"/>
    <w:rsid w:val="05CB04ED"/>
    <w:rsid w:val="05D75C71"/>
    <w:rsid w:val="05F31C91"/>
    <w:rsid w:val="06020126"/>
    <w:rsid w:val="06055520"/>
    <w:rsid w:val="062260D2"/>
    <w:rsid w:val="06253E14"/>
    <w:rsid w:val="063522A9"/>
    <w:rsid w:val="064F49ED"/>
    <w:rsid w:val="065345F9"/>
    <w:rsid w:val="06571110"/>
    <w:rsid w:val="065F76C6"/>
    <w:rsid w:val="06640499"/>
    <w:rsid w:val="066D0C4B"/>
    <w:rsid w:val="067130A6"/>
    <w:rsid w:val="0680729D"/>
    <w:rsid w:val="0687687D"/>
    <w:rsid w:val="06B718CD"/>
    <w:rsid w:val="06C053BA"/>
    <w:rsid w:val="06CE0008"/>
    <w:rsid w:val="07002940"/>
    <w:rsid w:val="070F2BCF"/>
    <w:rsid w:val="07267B5C"/>
    <w:rsid w:val="072E6CF9"/>
    <w:rsid w:val="0730481F"/>
    <w:rsid w:val="07360F25"/>
    <w:rsid w:val="074F5CA0"/>
    <w:rsid w:val="07677C87"/>
    <w:rsid w:val="076A5F83"/>
    <w:rsid w:val="07723089"/>
    <w:rsid w:val="0790350F"/>
    <w:rsid w:val="079E79DA"/>
    <w:rsid w:val="079F3753"/>
    <w:rsid w:val="07AB20F7"/>
    <w:rsid w:val="07B94814"/>
    <w:rsid w:val="07CD206E"/>
    <w:rsid w:val="07CE63C6"/>
    <w:rsid w:val="07E04497"/>
    <w:rsid w:val="07EC4BEA"/>
    <w:rsid w:val="07F95559"/>
    <w:rsid w:val="080041F1"/>
    <w:rsid w:val="08070F21"/>
    <w:rsid w:val="08087C29"/>
    <w:rsid w:val="080D00DC"/>
    <w:rsid w:val="081303C8"/>
    <w:rsid w:val="082779D0"/>
    <w:rsid w:val="08317294"/>
    <w:rsid w:val="08321A69"/>
    <w:rsid w:val="084836BC"/>
    <w:rsid w:val="08513DC0"/>
    <w:rsid w:val="08514A4D"/>
    <w:rsid w:val="086504F8"/>
    <w:rsid w:val="087605EB"/>
    <w:rsid w:val="08A34513"/>
    <w:rsid w:val="08B374B6"/>
    <w:rsid w:val="08C6000D"/>
    <w:rsid w:val="08CD44EF"/>
    <w:rsid w:val="08CF1E16"/>
    <w:rsid w:val="08D3624E"/>
    <w:rsid w:val="08F16485"/>
    <w:rsid w:val="09336848"/>
    <w:rsid w:val="093525C0"/>
    <w:rsid w:val="093711A6"/>
    <w:rsid w:val="09371E95"/>
    <w:rsid w:val="09437202"/>
    <w:rsid w:val="09593B6A"/>
    <w:rsid w:val="097430E9"/>
    <w:rsid w:val="09887A9D"/>
    <w:rsid w:val="099451E6"/>
    <w:rsid w:val="09B94F9F"/>
    <w:rsid w:val="09BC586F"/>
    <w:rsid w:val="09C81566"/>
    <w:rsid w:val="09CC2C6C"/>
    <w:rsid w:val="09D73678"/>
    <w:rsid w:val="09E244F6"/>
    <w:rsid w:val="09F91840"/>
    <w:rsid w:val="0A00672A"/>
    <w:rsid w:val="0A0855DF"/>
    <w:rsid w:val="0A0A1357"/>
    <w:rsid w:val="0A0D0E47"/>
    <w:rsid w:val="0A157CFC"/>
    <w:rsid w:val="0A265ACA"/>
    <w:rsid w:val="0A36214C"/>
    <w:rsid w:val="0A3E54A5"/>
    <w:rsid w:val="0A410AF1"/>
    <w:rsid w:val="0A444914"/>
    <w:rsid w:val="0A4A3E4A"/>
    <w:rsid w:val="0A5E2710"/>
    <w:rsid w:val="0A6767AA"/>
    <w:rsid w:val="0A6A0048"/>
    <w:rsid w:val="0A71587A"/>
    <w:rsid w:val="0A7D5FCD"/>
    <w:rsid w:val="0A835516"/>
    <w:rsid w:val="0A92134D"/>
    <w:rsid w:val="0AAF1EFF"/>
    <w:rsid w:val="0AB539B9"/>
    <w:rsid w:val="0ABB4D47"/>
    <w:rsid w:val="0ACF434F"/>
    <w:rsid w:val="0AFA3217"/>
    <w:rsid w:val="0B022976"/>
    <w:rsid w:val="0B095AB3"/>
    <w:rsid w:val="0B36617C"/>
    <w:rsid w:val="0B3D39AE"/>
    <w:rsid w:val="0B3E2A73"/>
    <w:rsid w:val="0B3F7726"/>
    <w:rsid w:val="0B566408"/>
    <w:rsid w:val="0B6B4077"/>
    <w:rsid w:val="0B6C7DF0"/>
    <w:rsid w:val="0B957346"/>
    <w:rsid w:val="0BB023D2"/>
    <w:rsid w:val="0BB43C70"/>
    <w:rsid w:val="0BB579E9"/>
    <w:rsid w:val="0BCB29AA"/>
    <w:rsid w:val="0BD8436C"/>
    <w:rsid w:val="0BDD134B"/>
    <w:rsid w:val="0BE67BA2"/>
    <w:rsid w:val="0BEC36DA"/>
    <w:rsid w:val="0BFB287A"/>
    <w:rsid w:val="0BFE313E"/>
    <w:rsid w:val="0BFF2E07"/>
    <w:rsid w:val="0C174276"/>
    <w:rsid w:val="0C210BDA"/>
    <w:rsid w:val="0C252478"/>
    <w:rsid w:val="0C2F000A"/>
    <w:rsid w:val="0C460641"/>
    <w:rsid w:val="0C5C6F3A"/>
    <w:rsid w:val="0C6A07D3"/>
    <w:rsid w:val="0C6B6720"/>
    <w:rsid w:val="0C760F26"/>
    <w:rsid w:val="0C7A7478"/>
    <w:rsid w:val="0C874EE1"/>
    <w:rsid w:val="0C9F3FA6"/>
    <w:rsid w:val="0CA602DC"/>
    <w:rsid w:val="0CC954FA"/>
    <w:rsid w:val="0CD71937"/>
    <w:rsid w:val="0CD86458"/>
    <w:rsid w:val="0CE91DBB"/>
    <w:rsid w:val="0CEC11E8"/>
    <w:rsid w:val="0CF37546"/>
    <w:rsid w:val="0CFD2ED0"/>
    <w:rsid w:val="0D026C5D"/>
    <w:rsid w:val="0D1644B7"/>
    <w:rsid w:val="0D4903E8"/>
    <w:rsid w:val="0D49663A"/>
    <w:rsid w:val="0D5560E2"/>
    <w:rsid w:val="0D5648B3"/>
    <w:rsid w:val="0D812061"/>
    <w:rsid w:val="0D9E714C"/>
    <w:rsid w:val="0DA80FAA"/>
    <w:rsid w:val="0DCA4C79"/>
    <w:rsid w:val="0DE14AC5"/>
    <w:rsid w:val="0DF95DD0"/>
    <w:rsid w:val="0DFB7A83"/>
    <w:rsid w:val="0E0E1F7D"/>
    <w:rsid w:val="0E1A3DDD"/>
    <w:rsid w:val="0E1D4081"/>
    <w:rsid w:val="0E1E1875"/>
    <w:rsid w:val="0E37599A"/>
    <w:rsid w:val="0E3A41D5"/>
    <w:rsid w:val="0E4B0190"/>
    <w:rsid w:val="0E5A03D3"/>
    <w:rsid w:val="0E5C239D"/>
    <w:rsid w:val="0E635D43"/>
    <w:rsid w:val="0E6D24DF"/>
    <w:rsid w:val="0E70518F"/>
    <w:rsid w:val="0EC046DA"/>
    <w:rsid w:val="0EE859DF"/>
    <w:rsid w:val="0EF6634E"/>
    <w:rsid w:val="0EFE6317"/>
    <w:rsid w:val="0F052A35"/>
    <w:rsid w:val="0F22557B"/>
    <w:rsid w:val="0F2729AB"/>
    <w:rsid w:val="0F294770"/>
    <w:rsid w:val="0F2F4658"/>
    <w:rsid w:val="0F440664"/>
    <w:rsid w:val="0F4B636B"/>
    <w:rsid w:val="0F550903"/>
    <w:rsid w:val="0F5C08A7"/>
    <w:rsid w:val="0F7F5846"/>
    <w:rsid w:val="0F80537F"/>
    <w:rsid w:val="0F9718DF"/>
    <w:rsid w:val="0F9F29FA"/>
    <w:rsid w:val="0FBF27C0"/>
    <w:rsid w:val="0FDA17CC"/>
    <w:rsid w:val="0FDB3CB0"/>
    <w:rsid w:val="0FDB52EF"/>
    <w:rsid w:val="0FE972CE"/>
    <w:rsid w:val="1001302C"/>
    <w:rsid w:val="10060813"/>
    <w:rsid w:val="101E0BE2"/>
    <w:rsid w:val="102921D2"/>
    <w:rsid w:val="102A64CE"/>
    <w:rsid w:val="103435D2"/>
    <w:rsid w:val="10354C54"/>
    <w:rsid w:val="103E7FAD"/>
    <w:rsid w:val="10507CE0"/>
    <w:rsid w:val="106043C7"/>
    <w:rsid w:val="1065381B"/>
    <w:rsid w:val="10675755"/>
    <w:rsid w:val="106F460A"/>
    <w:rsid w:val="107C1477"/>
    <w:rsid w:val="108A31F2"/>
    <w:rsid w:val="108B6F15"/>
    <w:rsid w:val="1097590F"/>
    <w:rsid w:val="10A5627E"/>
    <w:rsid w:val="10B4201D"/>
    <w:rsid w:val="10B77D5F"/>
    <w:rsid w:val="10D66437"/>
    <w:rsid w:val="11072A94"/>
    <w:rsid w:val="11196324"/>
    <w:rsid w:val="11275EC4"/>
    <w:rsid w:val="1146778F"/>
    <w:rsid w:val="115D0157"/>
    <w:rsid w:val="1182036D"/>
    <w:rsid w:val="118539B9"/>
    <w:rsid w:val="119114EB"/>
    <w:rsid w:val="11965BC6"/>
    <w:rsid w:val="11CD7E2D"/>
    <w:rsid w:val="11D16BFE"/>
    <w:rsid w:val="11E14529"/>
    <w:rsid w:val="11EA319D"/>
    <w:rsid w:val="11F8418B"/>
    <w:rsid w:val="120B3C17"/>
    <w:rsid w:val="12241424"/>
    <w:rsid w:val="12295A5F"/>
    <w:rsid w:val="122E24A4"/>
    <w:rsid w:val="123003E2"/>
    <w:rsid w:val="123576E9"/>
    <w:rsid w:val="124760BE"/>
    <w:rsid w:val="12617F82"/>
    <w:rsid w:val="12827B00"/>
    <w:rsid w:val="12843C71"/>
    <w:rsid w:val="128C3AEF"/>
    <w:rsid w:val="128F4AEF"/>
    <w:rsid w:val="12937695"/>
    <w:rsid w:val="129E11D6"/>
    <w:rsid w:val="12A04F4F"/>
    <w:rsid w:val="12A52565"/>
    <w:rsid w:val="12AD766B"/>
    <w:rsid w:val="12C02EFB"/>
    <w:rsid w:val="12C04BCD"/>
    <w:rsid w:val="12C111F6"/>
    <w:rsid w:val="12D1335A"/>
    <w:rsid w:val="12D15108"/>
    <w:rsid w:val="12D9579B"/>
    <w:rsid w:val="12E0359D"/>
    <w:rsid w:val="12EA61CA"/>
    <w:rsid w:val="12F301CF"/>
    <w:rsid w:val="12F928B1"/>
    <w:rsid w:val="12FE1A4A"/>
    <w:rsid w:val="13053004"/>
    <w:rsid w:val="130848A2"/>
    <w:rsid w:val="1314413E"/>
    <w:rsid w:val="131457A6"/>
    <w:rsid w:val="13190148"/>
    <w:rsid w:val="13345697"/>
    <w:rsid w:val="13511DA5"/>
    <w:rsid w:val="135875D7"/>
    <w:rsid w:val="13696EBB"/>
    <w:rsid w:val="136C24C2"/>
    <w:rsid w:val="136C3083"/>
    <w:rsid w:val="13724144"/>
    <w:rsid w:val="1376180B"/>
    <w:rsid w:val="13785584"/>
    <w:rsid w:val="137B1518"/>
    <w:rsid w:val="13806B2E"/>
    <w:rsid w:val="13985C26"/>
    <w:rsid w:val="13C62793"/>
    <w:rsid w:val="13E175CD"/>
    <w:rsid w:val="13E62BBC"/>
    <w:rsid w:val="13E64BE3"/>
    <w:rsid w:val="13E9022F"/>
    <w:rsid w:val="13FD697A"/>
    <w:rsid w:val="14027543"/>
    <w:rsid w:val="140C03C2"/>
    <w:rsid w:val="141A663B"/>
    <w:rsid w:val="1424395D"/>
    <w:rsid w:val="142F2F49"/>
    <w:rsid w:val="144237A3"/>
    <w:rsid w:val="145C25A1"/>
    <w:rsid w:val="146D175F"/>
    <w:rsid w:val="14847F58"/>
    <w:rsid w:val="1493417A"/>
    <w:rsid w:val="14A32AD4"/>
    <w:rsid w:val="14BF71E2"/>
    <w:rsid w:val="14D61575"/>
    <w:rsid w:val="14DC5FE6"/>
    <w:rsid w:val="14F71E87"/>
    <w:rsid w:val="15205ED3"/>
    <w:rsid w:val="152754B3"/>
    <w:rsid w:val="15475B55"/>
    <w:rsid w:val="154E2DFB"/>
    <w:rsid w:val="156E6792"/>
    <w:rsid w:val="15781385"/>
    <w:rsid w:val="15CC1BB7"/>
    <w:rsid w:val="15E2587E"/>
    <w:rsid w:val="15E6236B"/>
    <w:rsid w:val="15E72E94"/>
    <w:rsid w:val="15ED3E82"/>
    <w:rsid w:val="16331C36"/>
    <w:rsid w:val="163F682C"/>
    <w:rsid w:val="165212F8"/>
    <w:rsid w:val="16704C38"/>
    <w:rsid w:val="167C30C3"/>
    <w:rsid w:val="16895CFA"/>
    <w:rsid w:val="16B07D64"/>
    <w:rsid w:val="16C64858"/>
    <w:rsid w:val="16C83660"/>
    <w:rsid w:val="16D87738"/>
    <w:rsid w:val="16D927DD"/>
    <w:rsid w:val="16FD7FE6"/>
    <w:rsid w:val="16FE2244"/>
    <w:rsid w:val="1704191E"/>
    <w:rsid w:val="170F61FF"/>
    <w:rsid w:val="171B2DF6"/>
    <w:rsid w:val="172D2B29"/>
    <w:rsid w:val="174B2FAF"/>
    <w:rsid w:val="174B44C7"/>
    <w:rsid w:val="175B5787"/>
    <w:rsid w:val="1763479D"/>
    <w:rsid w:val="17650515"/>
    <w:rsid w:val="17662BB2"/>
    <w:rsid w:val="1767428D"/>
    <w:rsid w:val="177469AA"/>
    <w:rsid w:val="178A7F7B"/>
    <w:rsid w:val="17942BA8"/>
    <w:rsid w:val="179E46BB"/>
    <w:rsid w:val="17C52D61"/>
    <w:rsid w:val="17D26ACD"/>
    <w:rsid w:val="17E21B65"/>
    <w:rsid w:val="17EA27C8"/>
    <w:rsid w:val="17F35B20"/>
    <w:rsid w:val="18017DFE"/>
    <w:rsid w:val="181D2B9D"/>
    <w:rsid w:val="18247D4E"/>
    <w:rsid w:val="183A374F"/>
    <w:rsid w:val="18624A54"/>
    <w:rsid w:val="1864257A"/>
    <w:rsid w:val="186964F2"/>
    <w:rsid w:val="186B1EE1"/>
    <w:rsid w:val="18722EE9"/>
    <w:rsid w:val="187A1D9E"/>
    <w:rsid w:val="188E2868"/>
    <w:rsid w:val="18A137CE"/>
    <w:rsid w:val="18A60DE5"/>
    <w:rsid w:val="18A84B5D"/>
    <w:rsid w:val="18A961DF"/>
    <w:rsid w:val="18F27B86"/>
    <w:rsid w:val="19006747"/>
    <w:rsid w:val="19153875"/>
    <w:rsid w:val="19255D0C"/>
    <w:rsid w:val="193645BF"/>
    <w:rsid w:val="19404D95"/>
    <w:rsid w:val="195425EF"/>
    <w:rsid w:val="19895DD1"/>
    <w:rsid w:val="19897784"/>
    <w:rsid w:val="19AD1CFF"/>
    <w:rsid w:val="19B0318D"/>
    <w:rsid w:val="19C84D8B"/>
    <w:rsid w:val="19D35C0A"/>
    <w:rsid w:val="19DC32DB"/>
    <w:rsid w:val="19EE2D63"/>
    <w:rsid w:val="19FF69FF"/>
    <w:rsid w:val="1A1F0E4F"/>
    <w:rsid w:val="1A2128BB"/>
    <w:rsid w:val="1A355B24"/>
    <w:rsid w:val="1A3B272E"/>
    <w:rsid w:val="1A5F749D"/>
    <w:rsid w:val="1A642653"/>
    <w:rsid w:val="1A727CB7"/>
    <w:rsid w:val="1A7840BB"/>
    <w:rsid w:val="1A8C1DD9"/>
    <w:rsid w:val="1AA66E7A"/>
    <w:rsid w:val="1AA816BE"/>
    <w:rsid w:val="1ABD41C4"/>
    <w:rsid w:val="1AC45552"/>
    <w:rsid w:val="1AC55706"/>
    <w:rsid w:val="1AC612CA"/>
    <w:rsid w:val="1ACB3124"/>
    <w:rsid w:val="1AE4030D"/>
    <w:rsid w:val="1AEB6F83"/>
    <w:rsid w:val="1B023DE7"/>
    <w:rsid w:val="1B0B13D3"/>
    <w:rsid w:val="1B2D759B"/>
    <w:rsid w:val="1B3319BB"/>
    <w:rsid w:val="1B376B77"/>
    <w:rsid w:val="1B3B5F42"/>
    <w:rsid w:val="1B492499"/>
    <w:rsid w:val="1B6603B7"/>
    <w:rsid w:val="1B944F25"/>
    <w:rsid w:val="1BB455C7"/>
    <w:rsid w:val="1BC849BD"/>
    <w:rsid w:val="1BCC0B62"/>
    <w:rsid w:val="1BD456F8"/>
    <w:rsid w:val="1BDC68CC"/>
    <w:rsid w:val="1BE20386"/>
    <w:rsid w:val="1C0302FC"/>
    <w:rsid w:val="1C136791"/>
    <w:rsid w:val="1C167669"/>
    <w:rsid w:val="1C1B3898"/>
    <w:rsid w:val="1C330BE1"/>
    <w:rsid w:val="1C5B3ACE"/>
    <w:rsid w:val="1C7D3C0B"/>
    <w:rsid w:val="1C940572"/>
    <w:rsid w:val="1CAC62CF"/>
    <w:rsid w:val="1CC20464"/>
    <w:rsid w:val="1CD557F5"/>
    <w:rsid w:val="1CE4012E"/>
    <w:rsid w:val="1D0C4F51"/>
    <w:rsid w:val="1D110EBE"/>
    <w:rsid w:val="1D28626C"/>
    <w:rsid w:val="1D2D73DF"/>
    <w:rsid w:val="1D330F49"/>
    <w:rsid w:val="1D464944"/>
    <w:rsid w:val="1D594678"/>
    <w:rsid w:val="1D5C5F16"/>
    <w:rsid w:val="1D6C26E5"/>
    <w:rsid w:val="1D7713D9"/>
    <w:rsid w:val="1D796C95"/>
    <w:rsid w:val="1D7D0332"/>
    <w:rsid w:val="1D8A14F0"/>
    <w:rsid w:val="1D943902"/>
    <w:rsid w:val="1DA17DCD"/>
    <w:rsid w:val="1DA81FE3"/>
    <w:rsid w:val="1DBB785F"/>
    <w:rsid w:val="1DD828BE"/>
    <w:rsid w:val="1DEA3522"/>
    <w:rsid w:val="1DEA4577"/>
    <w:rsid w:val="1DFC2844"/>
    <w:rsid w:val="1E0D5462"/>
    <w:rsid w:val="1E1B11FB"/>
    <w:rsid w:val="1E1B192D"/>
    <w:rsid w:val="1E214A6A"/>
    <w:rsid w:val="1E390B15"/>
    <w:rsid w:val="1E3E53C8"/>
    <w:rsid w:val="1E430E84"/>
    <w:rsid w:val="1E454BFC"/>
    <w:rsid w:val="1E65178A"/>
    <w:rsid w:val="1E6F1C79"/>
    <w:rsid w:val="1E7B1B90"/>
    <w:rsid w:val="1E7D7EF2"/>
    <w:rsid w:val="1E7E72ED"/>
    <w:rsid w:val="1E7F010E"/>
    <w:rsid w:val="1E807EA0"/>
    <w:rsid w:val="1E85149C"/>
    <w:rsid w:val="1E881296"/>
    <w:rsid w:val="1E911BEF"/>
    <w:rsid w:val="1E9516DF"/>
    <w:rsid w:val="1E9F255E"/>
    <w:rsid w:val="1EB15DEE"/>
    <w:rsid w:val="1ED35CE6"/>
    <w:rsid w:val="1EDD4E34"/>
    <w:rsid w:val="1EF02DBA"/>
    <w:rsid w:val="1EF53F2C"/>
    <w:rsid w:val="1F047D00"/>
    <w:rsid w:val="1F2C1918"/>
    <w:rsid w:val="1F3F33F9"/>
    <w:rsid w:val="1F4E188E"/>
    <w:rsid w:val="1F59095F"/>
    <w:rsid w:val="1F5C3FAB"/>
    <w:rsid w:val="1F5F1A16"/>
    <w:rsid w:val="1F737A0B"/>
    <w:rsid w:val="1F811C64"/>
    <w:rsid w:val="1F881244"/>
    <w:rsid w:val="1F8B4890"/>
    <w:rsid w:val="1F8D23B7"/>
    <w:rsid w:val="1F953961"/>
    <w:rsid w:val="1FA26389"/>
    <w:rsid w:val="1FA83694"/>
    <w:rsid w:val="1FB501BB"/>
    <w:rsid w:val="1FB62FB7"/>
    <w:rsid w:val="1FB75686"/>
    <w:rsid w:val="1FC009DE"/>
    <w:rsid w:val="1FC87893"/>
    <w:rsid w:val="1FD251AF"/>
    <w:rsid w:val="1FD90F30"/>
    <w:rsid w:val="1FDC5405"/>
    <w:rsid w:val="1FF2227A"/>
    <w:rsid w:val="20016901"/>
    <w:rsid w:val="200C3C23"/>
    <w:rsid w:val="201F6003"/>
    <w:rsid w:val="2031368A"/>
    <w:rsid w:val="20360964"/>
    <w:rsid w:val="2044734C"/>
    <w:rsid w:val="204C2272"/>
    <w:rsid w:val="204E41CF"/>
    <w:rsid w:val="2059609B"/>
    <w:rsid w:val="20631369"/>
    <w:rsid w:val="20690E1D"/>
    <w:rsid w:val="206F5C18"/>
    <w:rsid w:val="207B66B3"/>
    <w:rsid w:val="208234C8"/>
    <w:rsid w:val="208D4368"/>
    <w:rsid w:val="20A0611A"/>
    <w:rsid w:val="20A24F68"/>
    <w:rsid w:val="20AD289C"/>
    <w:rsid w:val="20CE2C87"/>
    <w:rsid w:val="20DB53A4"/>
    <w:rsid w:val="20F403CF"/>
    <w:rsid w:val="210B5C89"/>
    <w:rsid w:val="210C6DA7"/>
    <w:rsid w:val="211A5ECC"/>
    <w:rsid w:val="21380082"/>
    <w:rsid w:val="213D7067"/>
    <w:rsid w:val="21502875"/>
    <w:rsid w:val="21676C37"/>
    <w:rsid w:val="217F0425"/>
    <w:rsid w:val="21835D16"/>
    <w:rsid w:val="219315A3"/>
    <w:rsid w:val="21EE1107"/>
    <w:rsid w:val="21F135D0"/>
    <w:rsid w:val="21FD6859"/>
    <w:rsid w:val="21FD6D7A"/>
    <w:rsid w:val="220152DE"/>
    <w:rsid w:val="221C3524"/>
    <w:rsid w:val="222021B9"/>
    <w:rsid w:val="223C63CB"/>
    <w:rsid w:val="22592A24"/>
    <w:rsid w:val="22765384"/>
    <w:rsid w:val="22A46395"/>
    <w:rsid w:val="22B97967"/>
    <w:rsid w:val="22C66C3F"/>
    <w:rsid w:val="22EC08AD"/>
    <w:rsid w:val="22F41110"/>
    <w:rsid w:val="23090BB4"/>
    <w:rsid w:val="231177A3"/>
    <w:rsid w:val="232B0864"/>
    <w:rsid w:val="232B2612"/>
    <w:rsid w:val="232C1EE7"/>
    <w:rsid w:val="23405992"/>
    <w:rsid w:val="235F050E"/>
    <w:rsid w:val="236B5698"/>
    <w:rsid w:val="23947E72"/>
    <w:rsid w:val="23A42DF1"/>
    <w:rsid w:val="23A83C63"/>
    <w:rsid w:val="23AE0B4E"/>
    <w:rsid w:val="23BE5FEB"/>
    <w:rsid w:val="23E66539"/>
    <w:rsid w:val="24077A99"/>
    <w:rsid w:val="242A1456"/>
    <w:rsid w:val="2432352D"/>
    <w:rsid w:val="243B4AD7"/>
    <w:rsid w:val="245F0C9E"/>
    <w:rsid w:val="24653902"/>
    <w:rsid w:val="24784D59"/>
    <w:rsid w:val="247B3126"/>
    <w:rsid w:val="249C463A"/>
    <w:rsid w:val="24A02B8C"/>
    <w:rsid w:val="24A33C6C"/>
    <w:rsid w:val="24AD52A9"/>
    <w:rsid w:val="24B108F5"/>
    <w:rsid w:val="24BC54EC"/>
    <w:rsid w:val="24BF60E6"/>
    <w:rsid w:val="24C820E3"/>
    <w:rsid w:val="24C83E91"/>
    <w:rsid w:val="24D665AE"/>
    <w:rsid w:val="24F667D0"/>
    <w:rsid w:val="24FC6017"/>
    <w:rsid w:val="251660E6"/>
    <w:rsid w:val="25180974"/>
    <w:rsid w:val="252A06A8"/>
    <w:rsid w:val="25333A00"/>
    <w:rsid w:val="255233A1"/>
    <w:rsid w:val="255875E9"/>
    <w:rsid w:val="2561056D"/>
    <w:rsid w:val="25757B75"/>
    <w:rsid w:val="25783B09"/>
    <w:rsid w:val="25872313"/>
    <w:rsid w:val="258C4EBE"/>
    <w:rsid w:val="25916979"/>
    <w:rsid w:val="25CB3C39"/>
    <w:rsid w:val="25E94F63"/>
    <w:rsid w:val="25ED1E01"/>
    <w:rsid w:val="260A1E1A"/>
    <w:rsid w:val="2610789E"/>
    <w:rsid w:val="261B149A"/>
    <w:rsid w:val="262B1D6E"/>
    <w:rsid w:val="26345ECF"/>
    <w:rsid w:val="265B0B9B"/>
    <w:rsid w:val="266D1892"/>
    <w:rsid w:val="267C3185"/>
    <w:rsid w:val="26993D37"/>
    <w:rsid w:val="269C55D5"/>
    <w:rsid w:val="26A510A3"/>
    <w:rsid w:val="26B648E9"/>
    <w:rsid w:val="26C708A4"/>
    <w:rsid w:val="26DB7EAB"/>
    <w:rsid w:val="26ED6C4A"/>
    <w:rsid w:val="26FE247D"/>
    <w:rsid w:val="271E1821"/>
    <w:rsid w:val="27271343"/>
    <w:rsid w:val="273661B9"/>
    <w:rsid w:val="27420024"/>
    <w:rsid w:val="275F0ADD"/>
    <w:rsid w:val="276205CD"/>
    <w:rsid w:val="27644345"/>
    <w:rsid w:val="2782156C"/>
    <w:rsid w:val="27983FEE"/>
    <w:rsid w:val="279C1720"/>
    <w:rsid w:val="279F537D"/>
    <w:rsid w:val="27AD0659"/>
    <w:rsid w:val="27C27D8D"/>
    <w:rsid w:val="27C7291F"/>
    <w:rsid w:val="27D057AA"/>
    <w:rsid w:val="27DA0BDC"/>
    <w:rsid w:val="27F136FF"/>
    <w:rsid w:val="27F54F9D"/>
    <w:rsid w:val="280E42B1"/>
    <w:rsid w:val="28221D29"/>
    <w:rsid w:val="282D2989"/>
    <w:rsid w:val="283C0132"/>
    <w:rsid w:val="283F2A53"/>
    <w:rsid w:val="28457D54"/>
    <w:rsid w:val="285048C9"/>
    <w:rsid w:val="285E2FB8"/>
    <w:rsid w:val="28724840"/>
    <w:rsid w:val="2886653D"/>
    <w:rsid w:val="28893937"/>
    <w:rsid w:val="28996270"/>
    <w:rsid w:val="289F1B20"/>
    <w:rsid w:val="28C24882"/>
    <w:rsid w:val="28E9700A"/>
    <w:rsid w:val="28F96D0F"/>
    <w:rsid w:val="28FD67FF"/>
    <w:rsid w:val="292E4C0A"/>
    <w:rsid w:val="296879F1"/>
    <w:rsid w:val="297D16EE"/>
    <w:rsid w:val="297E0FC2"/>
    <w:rsid w:val="29802F8C"/>
    <w:rsid w:val="29820543"/>
    <w:rsid w:val="29891E41"/>
    <w:rsid w:val="298A5BB9"/>
    <w:rsid w:val="29910CF5"/>
    <w:rsid w:val="299916CC"/>
    <w:rsid w:val="29A924E3"/>
    <w:rsid w:val="29C62882"/>
    <w:rsid w:val="29D95452"/>
    <w:rsid w:val="29E21551"/>
    <w:rsid w:val="2A1060BE"/>
    <w:rsid w:val="2A181417"/>
    <w:rsid w:val="2A1B07AF"/>
    <w:rsid w:val="2A323958"/>
    <w:rsid w:val="2A473AAA"/>
    <w:rsid w:val="2A573CED"/>
    <w:rsid w:val="2A612DBE"/>
    <w:rsid w:val="2A693A20"/>
    <w:rsid w:val="2A8C5B91"/>
    <w:rsid w:val="2A9C3DF6"/>
    <w:rsid w:val="2AA368F4"/>
    <w:rsid w:val="2AAF1D7B"/>
    <w:rsid w:val="2AC375D4"/>
    <w:rsid w:val="2AC53920"/>
    <w:rsid w:val="2AC83AC9"/>
    <w:rsid w:val="2ACD5203"/>
    <w:rsid w:val="2B07735B"/>
    <w:rsid w:val="2B1334DC"/>
    <w:rsid w:val="2B1B11BE"/>
    <w:rsid w:val="2B30453E"/>
    <w:rsid w:val="2B3E30FF"/>
    <w:rsid w:val="2B3F72B2"/>
    <w:rsid w:val="2B4F2C16"/>
    <w:rsid w:val="2B724B56"/>
    <w:rsid w:val="2B795EE5"/>
    <w:rsid w:val="2B8F5708"/>
    <w:rsid w:val="2BB532F3"/>
    <w:rsid w:val="2BC01D66"/>
    <w:rsid w:val="2BC43604"/>
    <w:rsid w:val="2BC52352"/>
    <w:rsid w:val="2BC72446"/>
    <w:rsid w:val="2BD001FB"/>
    <w:rsid w:val="2BE800C2"/>
    <w:rsid w:val="2BF037AA"/>
    <w:rsid w:val="2BFB4B4C"/>
    <w:rsid w:val="2BFC063C"/>
    <w:rsid w:val="2C5524AE"/>
    <w:rsid w:val="2C6646BB"/>
    <w:rsid w:val="2C7C3EDF"/>
    <w:rsid w:val="2C9D1200"/>
    <w:rsid w:val="2CB40181"/>
    <w:rsid w:val="2CE1615C"/>
    <w:rsid w:val="2D0D1D09"/>
    <w:rsid w:val="2D177764"/>
    <w:rsid w:val="2D263E4A"/>
    <w:rsid w:val="2D2B1461"/>
    <w:rsid w:val="2D2D51D9"/>
    <w:rsid w:val="2D3B5B48"/>
    <w:rsid w:val="2D4B565F"/>
    <w:rsid w:val="2D6E7129"/>
    <w:rsid w:val="2D870D8D"/>
    <w:rsid w:val="2D9A786B"/>
    <w:rsid w:val="2DA134D1"/>
    <w:rsid w:val="2DB910A7"/>
    <w:rsid w:val="2DCF71E7"/>
    <w:rsid w:val="2DDB4C35"/>
    <w:rsid w:val="2DE53D06"/>
    <w:rsid w:val="2DF0053E"/>
    <w:rsid w:val="2DFD4BAB"/>
    <w:rsid w:val="2E04418C"/>
    <w:rsid w:val="2E045F3A"/>
    <w:rsid w:val="2E060C56"/>
    <w:rsid w:val="2E132621"/>
    <w:rsid w:val="2E13617D"/>
    <w:rsid w:val="2E232138"/>
    <w:rsid w:val="2E2677B0"/>
    <w:rsid w:val="2E2E745B"/>
    <w:rsid w:val="2E3A7BAD"/>
    <w:rsid w:val="2E4A5917"/>
    <w:rsid w:val="2E65336F"/>
    <w:rsid w:val="2E692241"/>
    <w:rsid w:val="2E6B5A46"/>
    <w:rsid w:val="2E8424F7"/>
    <w:rsid w:val="2E876B6B"/>
    <w:rsid w:val="2ECF75CD"/>
    <w:rsid w:val="2ED40002"/>
    <w:rsid w:val="2ED973C6"/>
    <w:rsid w:val="2EDF0755"/>
    <w:rsid w:val="2F064E9A"/>
    <w:rsid w:val="2F0B154A"/>
    <w:rsid w:val="2F0B779C"/>
    <w:rsid w:val="2F0E6B39"/>
    <w:rsid w:val="2F1321AD"/>
    <w:rsid w:val="2F3426DA"/>
    <w:rsid w:val="2F354341"/>
    <w:rsid w:val="2F5348D1"/>
    <w:rsid w:val="2F6B545A"/>
    <w:rsid w:val="2F6E759F"/>
    <w:rsid w:val="2F6F3887"/>
    <w:rsid w:val="2F9C21A2"/>
    <w:rsid w:val="2F9C6EBA"/>
    <w:rsid w:val="2FA839D1"/>
    <w:rsid w:val="2FAA2663"/>
    <w:rsid w:val="2FAB0637"/>
    <w:rsid w:val="2FB43990"/>
    <w:rsid w:val="2FD14541"/>
    <w:rsid w:val="2FD858D0"/>
    <w:rsid w:val="2FDD2EE6"/>
    <w:rsid w:val="2FFB511A"/>
    <w:rsid w:val="30117247"/>
    <w:rsid w:val="30136908"/>
    <w:rsid w:val="301D1535"/>
    <w:rsid w:val="301F52AD"/>
    <w:rsid w:val="30275F10"/>
    <w:rsid w:val="302F3016"/>
    <w:rsid w:val="303B5E5F"/>
    <w:rsid w:val="30662EDC"/>
    <w:rsid w:val="30760C45"/>
    <w:rsid w:val="30C3032E"/>
    <w:rsid w:val="30C65728"/>
    <w:rsid w:val="310D15A9"/>
    <w:rsid w:val="3115045E"/>
    <w:rsid w:val="311B3EB3"/>
    <w:rsid w:val="311E1007"/>
    <w:rsid w:val="3126266B"/>
    <w:rsid w:val="31350E0A"/>
    <w:rsid w:val="31466374"/>
    <w:rsid w:val="31650701"/>
    <w:rsid w:val="317251C4"/>
    <w:rsid w:val="319B4E07"/>
    <w:rsid w:val="319C292D"/>
    <w:rsid w:val="319C645D"/>
    <w:rsid w:val="31AF1878"/>
    <w:rsid w:val="31C0486E"/>
    <w:rsid w:val="31C83722"/>
    <w:rsid w:val="31CA3C77"/>
    <w:rsid w:val="31CC4FC0"/>
    <w:rsid w:val="31D200FD"/>
    <w:rsid w:val="31E7004C"/>
    <w:rsid w:val="31E85B72"/>
    <w:rsid w:val="31EB1C40"/>
    <w:rsid w:val="31F14A27"/>
    <w:rsid w:val="32022CFB"/>
    <w:rsid w:val="320329AC"/>
    <w:rsid w:val="320504D2"/>
    <w:rsid w:val="32295B2C"/>
    <w:rsid w:val="322C0915"/>
    <w:rsid w:val="322C3CB1"/>
    <w:rsid w:val="322E7A29"/>
    <w:rsid w:val="3236110D"/>
    <w:rsid w:val="323D7C6C"/>
    <w:rsid w:val="323E39E4"/>
    <w:rsid w:val="323E5792"/>
    <w:rsid w:val="32560D2E"/>
    <w:rsid w:val="32607DFF"/>
    <w:rsid w:val="326D377C"/>
    <w:rsid w:val="328D6F97"/>
    <w:rsid w:val="32A01FA9"/>
    <w:rsid w:val="32B819E9"/>
    <w:rsid w:val="32BB5035"/>
    <w:rsid w:val="32C4038E"/>
    <w:rsid w:val="32CC313A"/>
    <w:rsid w:val="32DF6F75"/>
    <w:rsid w:val="32E56777"/>
    <w:rsid w:val="32F80037"/>
    <w:rsid w:val="32F8109D"/>
    <w:rsid w:val="330A28F8"/>
    <w:rsid w:val="331704BD"/>
    <w:rsid w:val="332810BD"/>
    <w:rsid w:val="333B6EC9"/>
    <w:rsid w:val="33490893"/>
    <w:rsid w:val="335B3B41"/>
    <w:rsid w:val="336254B1"/>
    <w:rsid w:val="336851BD"/>
    <w:rsid w:val="336A2CE3"/>
    <w:rsid w:val="33865643"/>
    <w:rsid w:val="33D60378"/>
    <w:rsid w:val="34140EA1"/>
    <w:rsid w:val="341F51AF"/>
    <w:rsid w:val="342714BD"/>
    <w:rsid w:val="34282322"/>
    <w:rsid w:val="345E211C"/>
    <w:rsid w:val="34700396"/>
    <w:rsid w:val="34713BFD"/>
    <w:rsid w:val="3475051A"/>
    <w:rsid w:val="3479377C"/>
    <w:rsid w:val="348A4CBF"/>
    <w:rsid w:val="3491429F"/>
    <w:rsid w:val="34B14942"/>
    <w:rsid w:val="34B23C40"/>
    <w:rsid w:val="34CC177B"/>
    <w:rsid w:val="34CE2DFE"/>
    <w:rsid w:val="34D83C7C"/>
    <w:rsid w:val="34EF0FC6"/>
    <w:rsid w:val="34F767F8"/>
    <w:rsid w:val="3502519D"/>
    <w:rsid w:val="35044A71"/>
    <w:rsid w:val="352262AE"/>
    <w:rsid w:val="35282528"/>
    <w:rsid w:val="35843E04"/>
    <w:rsid w:val="358F7BBF"/>
    <w:rsid w:val="35960068"/>
    <w:rsid w:val="35A65B28"/>
    <w:rsid w:val="35D46B3A"/>
    <w:rsid w:val="35FB40C6"/>
    <w:rsid w:val="35FC7514"/>
    <w:rsid w:val="35FC7E3E"/>
    <w:rsid w:val="360D743A"/>
    <w:rsid w:val="36364756"/>
    <w:rsid w:val="36392E40"/>
    <w:rsid w:val="363A0D04"/>
    <w:rsid w:val="3677282F"/>
    <w:rsid w:val="368C5217"/>
    <w:rsid w:val="368D0A96"/>
    <w:rsid w:val="369462C9"/>
    <w:rsid w:val="36C4095C"/>
    <w:rsid w:val="36D607C3"/>
    <w:rsid w:val="37076A9B"/>
    <w:rsid w:val="371369FF"/>
    <w:rsid w:val="37184804"/>
    <w:rsid w:val="371F49FB"/>
    <w:rsid w:val="37201B14"/>
    <w:rsid w:val="373974B6"/>
    <w:rsid w:val="37735EDE"/>
    <w:rsid w:val="3784633D"/>
    <w:rsid w:val="37A10C9D"/>
    <w:rsid w:val="37A54239"/>
    <w:rsid w:val="37A62BD8"/>
    <w:rsid w:val="37AB57E7"/>
    <w:rsid w:val="37AD715B"/>
    <w:rsid w:val="37B02C8E"/>
    <w:rsid w:val="37C14E9C"/>
    <w:rsid w:val="37CF13FA"/>
    <w:rsid w:val="37D96E02"/>
    <w:rsid w:val="37DD15AA"/>
    <w:rsid w:val="37DD4921"/>
    <w:rsid w:val="37E1553E"/>
    <w:rsid w:val="37E62B54"/>
    <w:rsid w:val="37F45B9A"/>
    <w:rsid w:val="37F966EB"/>
    <w:rsid w:val="38066D52"/>
    <w:rsid w:val="38084878"/>
    <w:rsid w:val="380F3E59"/>
    <w:rsid w:val="381D3C9E"/>
    <w:rsid w:val="382470ED"/>
    <w:rsid w:val="384F06F9"/>
    <w:rsid w:val="386A72E1"/>
    <w:rsid w:val="387044E2"/>
    <w:rsid w:val="38797524"/>
    <w:rsid w:val="38910D12"/>
    <w:rsid w:val="389E6F8B"/>
    <w:rsid w:val="38B47348"/>
    <w:rsid w:val="38BB5D8F"/>
    <w:rsid w:val="38E2156D"/>
    <w:rsid w:val="38E84D15"/>
    <w:rsid w:val="39113C01"/>
    <w:rsid w:val="39194C1E"/>
    <w:rsid w:val="39457BDA"/>
    <w:rsid w:val="39504729"/>
    <w:rsid w:val="39641F82"/>
    <w:rsid w:val="397A3554"/>
    <w:rsid w:val="39861EF9"/>
    <w:rsid w:val="399E5DA7"/>
    <w:rsid w:val="39A22AAB"/>
    <w:rsid w:val="39A44A75"/>
    <w:rsid w:val="39AD0219"/>
    <w:rsid w:val="39C46EC5"/>
    <w:rsid w:val="39CC34C4"/>
    <w:rsid w:val="39E03701"/>
    <w:rsid w:val="3A015A23"/>
    <w:rsid w:val="3A1A0893"/>
    <w:rsid w:val="3A304A1A"/>
    <w:rsid w:val="3A313DDF"/>
    <w:rsid w:val="3A350A81"/>
    <w:rsid w:val="3A773F37"/>
    <w:rsid w:val="3A8D5D7A"/>
    <w:rsid w:val="3A8F1281"/>
    <w:rsid w:val="3A8F74D3"/>
    <w:rsid w:val="3A916DA7"/>
    <w:rsid w:val="3A9D66C5"/>
    <w:rsid w:val="3AA2245B"/>
    <w:rsid w:val="3AA755AA"/>
    <w:rsid w:val="3AA84388"/>
    <w:rsid w:val="3AB2102B"/>
    <w:rsid w:val="3AB46F3A"/>
    <w:rsid w:val="3AB83A06"/>
    <w:rsid w:val="3ABB3E24"/>
    <w:rsid w:val="3AC2197B"/>
    <w:rsid w:val="3ACA4067"/>
    <w:rsid w:val="3AFA3CA4"/>
    <w:rsid w:val="3AFF6407"/>
    <w:rsid w:val="3B190B4B"/>
    <w:rsid w:val="3B223EA3"/>
    <w:rsid w:val="3B2D45F6"/>
    <w:rsid w:val="3B404329"/>
    <w:rsid w:val="3B551DDF"/>
    <w:rsid w:val="3B567FF1"/>
    <w:rsid w:val="3B705397"/>
    <w:rsid w:val="3B7364AD"/>
    <w:rsid w:val="3B7D728C"/>
    <w:rsid w:val="3B9823B7"/>
    <w:rsid w:val="3BBF3CCF"/>
    <w:rsid w:val="3BD9707D"/>
    <w:rsid w:val="3BF35840"/>
    <w:rsid w:val="3C180944"/>
    <w:rsid w:val="3C4A1903"/>
    <w:rsid w:val="3C691BF2"/>
    <w:rsid w:val="3C9847F4"/>
    <w:rsid w:val="3C991F43"/>
    <w:rsid w:val="3CA408E8"/>
    <w:rsid w:val="3CA62A73"/>
    <w:rsid w:val="3CB52AF5"/>
    <w:rsid w:val="3CB609AC"/>
    <w:rsid w:val="3CE533DA"/>
    <w:rsid w:val="3CEF24AB"/>
    <w:rsid w:val="3CF51E0D"/>
    <w:rsid w:val="3CF979AB"/>
    <w:rsid w:val="3CFD6976"/>
    <w:rsid w:val="3D006466"/>
    <w:rsid w:val="3D0E0B83"/>
    <w:rsid w:val="3D163594"/>
    <w:rsid w:val="3D1B6DFC"/>
    <w:rsid w:val="3D2008B6"/>
    <w:rsid w:val="3D25588D"/>
    <w:rsid w:val="3D3449B0"/>
    <w:rsid w:val="3D3B2FFA"/>
    <w:rsid w:val="3D6D0EC7"/>
    <w:rsid w:val="3D793B23"/>
    <w:rsid w:val="3D7D6F26"/>
    <w:rsid w:val="3D961D86"/>
    <w:rsid w:val="3DAE5EC2"/>
    <w:rsid w:val="3DBB1BA6"/>
    <w:rsid w:val="3DBE71AC"/>
    <w:rsid w:val="3DBF00CF"/>
    <w:rsid w:val="3DC2196D"/>
    <w:rsid w:val="3DC7000C"/>
    <w:rsid w:val="3DD57074"/>
    <w:rsid w:val="3DE6740A"/>
    <w:rsid w:val="3DF75763"/>
    <w:rsid w:val="3DFB619C"/>
    <w:rsid w:val="3DFC435A"/>
    <w:rsid w:val="3E126451"/>
    <w:rsid w:val="3E171CB9"/>
    <w:rsid w:val="3E216694"/>
    <w:rsid w:val="3E230966"/>
    <w:rsid w:val="3E292020"/>
    <w:rsid w:val="3E410AE4"/>
    <w:rsid w:val="3E5C7F54"/>
    <w:rsid w:val="3E626508"/>
    <w:rsid w:val="3E740EBA"/>
    <w:rsid w:val="3E75078E"/>
    <w:rsid w:val="3E75253C"/>
    <w:rsid w:val="3E94330A"/>
    <w:rsid w:val="3E950E30"/>
    <w:rsid w:val="3E9A368F"/>
    <w:rsid w:val="3E9C05F6"/>
    <w:rsid w:val="3EAB2402"/>
    <w:rsid w:val="3EB76FF8"/>
    <w:rsid w:val="3EBF7C5B"/>
    <w:rsid w:val="3ED70A3A"/>
    <w:rsid w:val="3EF51FB7"/>
    <w:rsid w:val="3EF94CCF"/>
    <w:rsid w:val="3F11495A"/>
    <w:rsid w:val="3F4940F4"/>
    <w:rsid w:val="3F5860E5"/>
    <w:rsid w:val="3F5D194E"/>
    <w:rsid w:val="3F634A8A"/>
    <w:rsid w:val="3F6B457D"/>
    <w:rsid w:val="3F7B2FDB"/>
    <w:rsid w:val="3F836EDA"/>
    <w:rsid w:val="3FA27AD1"/>
    <w:rsid w:val="3FA66E58"/>
    <w:rsid w:val="3FA73DCB"/>
    <w:rsid w:val="3FAC6390"/>
    <w:rsid w:val="3FB35A12"/>
    <w:rsid w:val="3FD140EA"/>
    <w:rsid w:val="3FE01EB5"/>
    <w:rsid w:val="3FEA0D08"/>
    <w:rsid w:val="3FFA719D"/>
    <w:rsid w:val="3FFD4EDF"/>
    <w:rsid w:val="400D50B0"/>
    <w:rsid w:val="40175FA1"/>
    <w:rsid w:val="401B7113"/>
    <w:rsid w:val="404A344A"/>
    <w:rsid w:val="40526FD9"/>
    <w:rsid w:val="40821DD2"/>
    <w:rsid w:val="408E606F"/>
    <w:rsid w:val="40955117"/>
    <w:rsid w:val="409A44DC"/>
    <w:rsid w:val="409F3367"/>
    <w:rsid w:val="40A13ABC"/>
    <w:rsid w:val="40AD783D"/>
    <w:rsid w:val="40AE5771"/>
    <w:rsid w:val="40B409E5"/>
    <w:rsid w:val="40D0614F"/>
    <w:rsid w:val="40D45C40"/>
    <w:rsid w:val="40D53766"/>
    <w:rsid w:val="40DE261A"/>
    <w:rsid w:val="40EE65D6"/>
    <w:rsid w:val="40F40090"/>
    <w:rsid w:val="41396224"/>
    <w:rsid w:val="413B5C0E"/>
    <w:rsid w:val="414916BF"/>
    <w:rsid w:val="415648A7"/>
    <w:rsid w:val="4157061F"/>
    <w:rsid w:val="415B481E"/>
    <w:rsid w:val="416E7E42"/>
    <w:rsid w:val="41704822"/>
    <w:rsid w:val="41782A6F"/>
    <w:rsid w:val="417E204F"/>
    <w:rsid w:val="418238EE"/>
    <w:rsid w:val="418272A9"/>
    <w:rsid w:val="4185518C"/>
    <w:rsid w:val="41894C7C"/>
    <w:rsid w:val="41970A1B"/>
    <w:rsid w:val="41CB6D2B"/>
    <w:rsid w:val="41E974C9"/>
    <w:rsid w:val="41FA7D56"/>
    <w:rsid w:val="4207191B"/>
    <w:rsid w:val="42437F21"/>
    <w:rsid w:val="42492D63"/>
    <w:rsid w:val="42554A87"/>
    <w:rsid w:val="426C65BD"/>
    <w:rsid w:val="427C033D"/>
    <w:rsid w:val="427F2494"/>
    <w:rsid w:val="4290203A"/>
    <w:rsid w:val="42993F16"/>
    <w:rsid w:val="42B76A4F"/>
    <w:rsid w:val="430F11B1"/>
    <w:rsid w:val="43120CA1"/>
    <w:rsid w:val="431B29EF"/>
    <w:rsid w:val="43201AA5"/>
    <w:rsid w:val="433F136A"/>
    <w:rsid w:val="4384412A"/>
    <w:rsid w:val="438D657A"/>
    <w:rsid w:val="4391606A"/>
    <w:rsid w:val="439E468D"/>
    <w:rsid w:val="43BE5277"/>
    <w:rsid w:val="43C37295"/>
    <w:rsid w:val="43CA10A8"/>
    <w:rsid w:val="43D736D0"/>
    <w:rsid w:val="43DA0957"/>
    <w:rsid w:val="43DC4DEA"/>
    <w:rsid w:val="43DF6A64"/>
    <w:rsid w:val="43EE1136"/>
    <w:rsid w:val="43F403A7"/>
    <w:rsid w:val="43F700E9"/>
    <w:rsid w:val="440C749E"/>
    <w:rsid w:val="4462478D"/>
    <w:rsid w:val="447A1390"/>
    <w:rsid w:val="44892E49"/>
    <w:rsid w:val="44932C28"/>
    <w:rsid w:val="4496320C"/>
    <w:rsid w:val="449D0A3E"/>
    <w:rsid w:val="44BC7116"/>
    <w:rsid w:val="44CB735A"/>
    <w:rsid w:val="44D53D34"/>
    <w:rsid w:val="44DF1057"/>
    <w:rsid w:val="44F867C4"/>
    <w:rsid w:val="44F93EC7"/>
    <w:rsid w:val="45014B29"/>
    <w:rsid w:val="450E10BB"/>
    <w:rsid w:val="45207390"/>
    <w:rsid w:val="453E4BCE"/>
    <w:rsid w:val="454A2974"/>
    <w:rsid w:val="455C4456"/>
    <w:rsid w:val="45685D52"/>
    <w:rsid w:val="45692B8A"/>
    <w:rsid w:val="456C42B5"/>
    <w:rsid w:val="45AC4ED1"/>
    <w:rsid w:val="45B93656"/>
    <w:rsid w:val="45C67564"/>
    <w:rsid w:val="45F855D1"/>
    <w:rsid w:val="460A2104"/>
    <w:rsid w:val="4629258A"/>
    <w:rsid w:val="463B050F"/>
    <w:rsid w:val="463B406B"/>
    <w:rsid w:val="46454AE8"/>
    <w:rsid w:val="46496788"/>
    <w:rsid w:val="46535859"/>
    <w:rsid w:val="466E4440"/>
    <w:rsid w:val="46753EC0"/>
    <w:rsid w:val="468B329F"/>
    <w:rsid w:val="468F4EFD"/>
    <w:rsid w:val="469443CD"/>
    <w:rsid w:val="46A240EA"/>
    <w:rsid w:val="46B75DE7"/>
    <w:rsid w:val="46BA1434"/>
    <w:rsid w:val="46BF2EEE"/>
    <w:rsid w:val="46C9474D"/>
    <w:rsid w:val="46D52711"/>
    <w:rsid w:val="46D71FE6"/>
    <w:rsid w:val="46DF5942"/>
    <w:rsid w:val="46E62229"/>
    <w:rsid w:val="472745EF"/>
    <w:rsid w:val="476D46F8"/>
    <w:rsid w:val="476F0226"/>
    <w:rsid w:val="477261B2"/>
    <w:rsid w:val="47780AC3"/>
    <w:rsid w:val="478B1022"/>
    <w:rsid w:val="479A4324"/>
    <w:rsid w:val="47B65B13"/>
    <w:rsid w:val="47B6609F"/>
    <w:rsid w:val="47C16EF4"/>
    <w:rsid w:val="47C76C38"/>
    <w:rsid w:val="47D604EF"/>
    <w:rsid w:val="47E66258"/>
    <w:rsid w:val="47ED24C8"/>
    <w:rsid w:val="47F44954"/>
    <w:rsid w:val="48013092"/>
    <w:rsid w:val="48050DD4"/>
    <w:rsid w:val="481E59F2"/>
    <w:rsid w:val="48343468"/>
    <w:rsid w:val="4835018A"/>
    <w:rsid w:val="483E6094"/>
    <w:rsid w:val="48482A6F"/>
    <w:rsid w:val="484A4A39"/>
    <w:rsid w:val="484B65E6"/>
    <w:rsid w:val="485246CB"/>
    <w:rsid w:val="48561790"/>
    <w:rsid w:val="48650722"/>
    <w:rsid w:val="48713324"/>
    <w:rsid w:val="4874541F"/>
    <w:rsid w:val="487577D3"/>
    <w:rsid w:val="489C01A4"/>
    <w:rsid w:val="489F6B33"/>
    <w:rsid w:val="48A4239B"/>
    <w:rsid w:val="48A96D19"/>
    <w:rsid w:val="48AB372A"/>
    <w:rsid w:val="48CC18F2"/>
    <w:rsid w:val="48D662CD"/>
    <w:rsid w:val="48E24C72"/>
    <w:rsid w:val="48E44E8E"/>
    <w:rsid w:val="48E64762"/>
    <w:rsid w:val="48E94252"/>
    <w:rsid w:val="4900334A"/>
    <w:rsid w:val="49025314"/>
    <w:rsid w:val="491017DF"/>
    <w:rsid w:val="491A440C"/>
    <w:rsid w:val="4927085F"/>
    <w:rsid w:val="49353AF4"/>
    <w:rsid w:val="4950607F"/>
    <w:rsid w:val="495F27BF"/>
    <w:rsid w:val="496F0BFB"/>
    <w:rsid w:val="49730F71"/>
    <w:rsid w:val="49775B28"/>
    <w:rsid w:val="497F7878"/>
    <w:rsid w:val="498875C7"/>
    <w:rsid w:val="498D1081"/>
    <w:rsid w:val="49997A26"/>
    <w:rsid w:val="49BF40ED"/>
    <w:rsid w:val="49C96F28"/>
    <w:rsid w:val="49EC3F60"/>
    <w:rsid w:val="4A123335"/>
    <w:rsid w:val="4A1807EF"/>
    <w:rsid w:val="4A233794"/>
    <w:rsid w:val="4A256454"/>
    <w:rsid w:val="4A43515C"/>
    <w:rsid w:val="4A477482"/>
    <w:rsid w:val="4A5F709C"/>
    <w:rsid w:val="4A653DAC"/>
    <w:rsid w:val="4A67194D"/>
    <w:rsid w:val="4A6F0787"/>
    <w:rsid w:val="4A7364C9"/>
    <w:rsid w:val="4A8E5FA5"/>
    <w:rsid w:val="4A9E2E1A"/>
    <w:rsid w:val="4AB50890"/>
    <w:rsid w:val="4ABB70FA"/>
    <w:rsid w:val="4ABD5996"/>
    <w:rsid w:val="4AC46D25"/>
    <w:rsid w:val="4ADB68AB"/>
    <w:rsid w:val="4AE41AE2"/>
    <w:rsid w:val="4AEE78DE"/>
    <w:rsid w:val="4AF34F14"/>
    <w:rsid w:val="4B005883"/>
    <w:rsid w:val="4B031AF1"/>
    <w:rsid w:val="4B2B7D30"/>
    <w:rsid w:val="4B2C48CA"/>
    <w:rsid w:val="4B306168"/>
    <w:rsid w:val="4B4871C2"/>
    <w:rsid w:val="4B616AF5"/>
    <w:rsid w:val="4B645E12"/>
    <w:rsid w:val="4B667538"/>
    <w:rsid w:val="4B832ED5"/>
    <w:rsid w:val="4B897627"/>
    <w:rsid w:val="4B9762C0"/>
    <w:rsid w:val="4B9F32EE"/>
    <w:rsid w:val="4BA34BD7"/>
    <w:rsid w:val="4BC214A2"/>
    <w:rsid w:val="4BCF5981"/>
    <w:rsid w:val="4BD02FA4"/>
    <w:rsid w:val="4BFE6021"/>
    <w:rsid w:val="4C0A0767"/>
    <w:rsid w:val="4C143394"/>
    <w:rsid w:val="4C20442F"/>
    <w:rsid w:val="4C2A3F17"/>
    <w:rsid w:val="4C325F10"/>
    <w:rsid w:val="4C373527"/>
    <w:rsid w:val="4C7B603F"/>
    <w:rsid w:val="4C7E0B7B"/>
    <w:rsid w:val="4C9A201D"/>
    <w:rsid w:val="4CC254E6"/>
    <w:rsid w:val="4CC36B68"/>
    <w:rsid w:val="4CCF550D"/>
    <w:rsid w:val="4CD36B70"/>
    <w:rsid w:val="4CF431C6"/>
    <w:rsid w:val="4D0A4797"/>
    <w:rsid w:val="4D151ABA"/>
    <w:rsid w:val="4D2C6E03"/>
    <w:rsid w:val="4D387556"/>
    <w:rsid w:val="4D427EC6"/>
    <w:rsid w:val="4D467EC5"/>
    <w:rsid w:val="4D6E2F78"/>
    <w:rsid w:val="4D8A3695"/>
    <w:rsid w:val="4D9724CF"/>
    <w:rsid w:val="4DA263F4"/>
    <w:rsid w:val="4DD24560"/>
    <w:rsid w:val="4DE72335"/>
    <w:rsid w:val="4DE80F7C"/>
    <w:rsid w:val="4DED0341"/>
    <w:rsid w:val="4DF51F07"/>
    <w:rsid w:val="4DF5420E"/>
    <w:rsid w:val="4DFD286B"/>
    <w:rsid w:val="4DFE58E7"/>
    <w:rsid w:val="4E205F85"/>
    <w:rsid w:val="4E3F66C2"/>
    <w:rsid w:val="4E4F2DA9"/>
    <w:rsid w:val="4E61488B"/>
    <w:rsid w:val="4E662E8A"/>
    <w:rsid w:val="4E9C58C3"/>
    <w:rsid w:val="4EAE4A7D"/>
    <w:rsid w:val="4EB26E94"/>
    <w:rsid w:val="4EB8094F"/>
    <w:rsid w:val="4EC866B8"/>
    <w:rsid w:val="4ECF168B"/>
    <w:rsid w:val="4ED67027"/>
    <w:rsid w:val="4EE647F9"/>
    <w:rsid w:val="4EE72FE2"/>
    <w:rsid w:val="4EF474AD"/>
    <w:rsid w:val="4EF87EC5"/>
    <w:rsid w:val="4EFD0A57"/>
    <w:rsid w:val="4F0973FC"/>
    <w:rsid w:val="4F1130B9"/>
    <w:rsid w:val="4F4026F2"/>
    <w:rsid w:val="4F4246BC"/>
    <w:rsid w:val="4F442177"/>
    <w:rsid w:val="4F5166AD"/>
    <w:rsid w:val="4F5F526E"/>
    <w:rsid w:val="4F6A37EF"/>
    <w:rsid w:val="4F6E725F"/>
    <w:rsid w:val="4F7C4402"/>
    <w:rsid w:val="4F844CD5"/>
    <w:rsid w:val="4F8922EB"/>
    <w:rsid w:val="4F90367A"/>
    <w:rsid w:val="4F9C3DCC"/>
    <w:rsid w:val="4F9D7B44"/>
    <w:rsid w:val="4FA17635"/>
    <w:rsid w:val="4FDC241B"/>
    <w:rsid w:val="4FE259D7"/>
    <w:rsid w:val="4FE44618"/>
    <w:rsid w:val="4FF359B6"/>
    <w:rsid w:val="4FF5172F"/>
    <w:rsid w:val="4FFA6D45"/>
    <w:rsid w:val="500100D3"/>
    <w:rsid w:val="502627A8"/>
    <w:rsid w:val="50412BC6"/>
    <w:rsid w:val="504B75A0"/>
    <w:rsid w:val="5060304C"/>
    <w:rsid w:val="506643DA"/>
    <w:rsid w:val="506B379F"/>
    <w:rsid w:val="506E2C81"/>
    <w:rsid w:val="50854E71"/>
    <w:rsid w:val="50966A6E"/>
    <w:rsid w:val="50D852D8"/>
    <w:rsid w:val="50FD59A5"/>
    <w:rsid w:val="51031C29"/>
    <w:rsid w:val="510734C7"/>
    <w:rsid w:val="510A120A"/>
    <w:rsid w:val="511B51C5"/>
    <w:rsid w:val="51201AE2"/>
    <w:rsid w:val="512B0407"/>
    <w:rsid w:val="5139389D"/>
    <w:rsid w:val="513F38E9"/>
    <w:rsid w:val="513F7105"/>
    <w:rsid w:val="51453FF0"/>
    <w:rsid w:val="515C2DD9"/>
    <w:rsid w:val="51791EEB"/>
    <w:rsid w:val="51825244"/>
    <w:rsid w:val="51847051"/>
    <w:rsid w:val="518A5EA7"/>
    <w:rsid w:val="518B5CBD"/>
    <w:rsid w:val="5196484B"/>
    <w:rsid w:val="51A74CAA"/>
    <w:rsid w:val="51B90777"/>
    <w:rsid w:val="51C30DFE"/>
    <w:rsid w:val="51E11F6A"/>
    <w:rsid w:val="51EE6435"/>
    <w:rsid w:val="51F003FF"/>
    <w:rsid w:val="51F53C68"/>
    <w:rsid w:val="520E18D3"/>
    <w:rsid w:val="521148D3"/>
    <w:rsid w:val="523522B6"/>
    <w:rsid w:val="523551E3"/>
    <w:rsid w:val="52383B54"/>
    <w:rsid w:val="52475ED6"/>
    <w:rsid w:val="52721B97"/>
    <w:rsid w:val="527B6107"/>
    <w:rsid w:val="527C3AC8"/>
    <w:rsid w:val="52884ADC"/>
    <w:rsid w:val="529214B7"/>
    <w:rsid w:val="52AE419A"/>
    <w:rsid w:val="52C75604"/>
    <w:rsid w:val="52F65C9A"/>
    <w:rsid w:val="52FC1949"/>
    <w:rsid w:val="530103EA"/>
    <w:rsid w:val="53090195"/>
    <w:rsid w:val="531C6FD2"/>
    <w:rsid w:val="532F2BCB"/>
    <w:rsid w:val="532F30EC"/>
    <w:rsid w:val="53430CF6"/>
    <w:rsid w:val="53542C10"/>
    <w:rsid w:val="53582700"/>
    <w:rsid w:val="535A1F22"/>
    <w:rsid w:val="535E583D"/>
    <w:rsid w:val="53672134"/>
    <w:rsid w:val="53856945"/>
    <w:rsid w:val="53884308"/>
    <w:rsid w:val="538C23AA"/>
    <w:rsid w:val="539774E2"/>
    <w:rsid w:val="53990EA4"/>
    <w:rsid w:val="53AC0356"/>
    <w:rsid w:val="53AE2320"/>
    <w:rsid w:val="53B4545D"/>
    <w:rsid w:val="53C16CB6"/>
    <w:rsid w:val="53D662C7"/>
    <w:rsid w:val="53DF7D24"/>
    <w:rsid w:val="53ED2679"/>
    <w:rsid w:val="53F64ED8"/>
    <w:rsid w:val="541C54DC"/>
    <w:rsid w:val="541E2DD9"/>
    <w:rsid w:val="54260108"/>
    <w:rsid w:val="544B5DC1"/>
    <w:rsid w:val="544B7B6F"/>
    <w:rsid w:val="544F686D"/>
    <w:rsid w:val="54543237"/>
    <w:rsid w:val="546D5D37"/>
    <w:rsid w:val="54B25E40"/>
    <w:rsid w:val="54B97065"/>
    <w:rsid w:val="54CD4A28"/>
    <w:rsid w:val="54E12281"/>
    <w:rsid w:val="55125CF2"/>
    <w:rsid w:val="55182ABF"/>
    <w:rsid w:val="551D59AF"/>
    <w:rsid w:val="55236D3E"/>
    <w:rsid w:val="552F7491"/>
    <w:rsid w:val="556829A3"/>
    <w:rsid w:val="55935C72"/>
    <w:rsid w:val="55A0213D"/>
    <w:rsid w:val="55A86E0F"/>
    <w:rsid w:val="55AA4D69"/>
    <w:rsid w:val="55B42837"/>
    <w:rsid w:val="55BC7518"/>
    <w:rsid w:val="55BE3765"/>
    <w:rsid w:val="55CC2F32"/>
    <w:rsid w:val="55DD0C9B"/>
    <w:rsid w:val="55E50376"/>
    <w:rsid w:val="56044479"/>
    <w:rsid w:val="561C5C67"/>
    <w:rsid w:val="562C65D9"/>
    <w:rsid w:val="563A7E9B"/>
    <w:rsid w:val="56495EF2"/>
    <w:rsid w:val="56505911"/>
    <w:rsid w:val="565F5B54"/>
    <w:rsid w:val="566E7A93"/>
    <w:rsid w:val="567105B4"/>
    <w:rsid w:val="56725887"/>
    <w:rsid w:val="56731FA7"/>
    <w:rsid w:val="567D6779"/>
    <w:rsid w:val="568D446F"/>
    <w:rsid w:val="568F468B"/>
    <w:rsid w:val="56933A4F"/>
    <w:rsid w:val="56A24303"/>
    <w:rsid w:val="56A85AB0"/>
    <w:rsid w:val="56B15021"/>
    <w:rsid w:val="56B20379"/>
    <w:rsid w:val="56C029F4"/>
    <w:rsid w:val="56C34335"/>
    <w:rsid w:val="56CE0629"/>
    <w:rsid w:val="56D16FAA"/>
    <w:rsid w:val="56D26326"/>
    <w:rsid w:val="56E338D3"/>
    <w:rsid w:val="56E65DAC"/>
    <w:rsid w:val="56E86966"/>
    <w:rsid w:val="56EB5639"/>
    <w:rsid w:val="56EE7E34"/>
    <w:rsid w:val="57174F85"/>
    <w:rsid w:val="57265D26"/>
    <w:rsid w:val="57325016"/>
    <w:rsid w:val="57551B3D"/>
    <w:rsid w:val="57631674"/>
    <w:rsid w:val="57711FE2"/>
    <w:rsid w:val="57721A69"/>
    <w:rsid w:val="577C5110"/>
    <w:rsid w:val="577F24AA"/>
    <w:rsid w:val="578735B4"/>
    <w:rsid w:val="579637F7"/>
    <w:rsid w:val="57A001D2"/>
    <w:rsid w:val="57AC6393"/>
    <w:rsid w:val="57B43C7D"/>
    <w:rsid w:val="57C35B91"/>
    <w:rsid w:val="57CE2F91"/>
    <w:rsid w:val="57EF6988"/>
    <w:rsid w:val="57F746C5"/>
    <w:rsid w:val="57FE49CA"/>
    <w:rsid w:val="58262DCD"/>
    <w:rsid w:val="582E1C82"/>
    <w:rsid w:val="582F4063"/>
    <w:rsid w:val="58346B6C"/>
    <w:rsid w:val="584119B5"/>
    <w:rsid w:val="58435FD3"/>
    <w:rsid w:val="584D65AC"/>
    <w:rsid w:val="5866141B"/>
    <w:rsid w:val="58694A68"/>
    <w:rsid w:val="58830C47"/>
    <w:rsid w:val="588D162B"/>
    <w:rsid w:val="5898359F"/>
    <w:rsid w:val="58A14202"/>
    <w:rsid w:val="58A41AE0"/>
    <w:rsid w:val="58AC2BA6"/>
    <w:rsid w:val="58BD6C4D"/>
    <w:rsid w:val="58C93758"/>
    <w:rsid w:val="58D42829"/>
    <w:rsid w:val="58DA7713"/>
    <w:rsid w:val="58DC16DE"/>
    <w:rsid w:val="58EE1C65"/>
    <w:rsid w:val="58FA7DB6"/>
    <w:rsid w:val="59044790"/>
    <w:rsid w:val="59117084"/>
    <w:rsid w:val="59233F27"/>
    <w:rsid w:val="594340A3"/>
    <w:rsid w:val="594C6863"/>
    <w:rsid w:val="594D25DB"/>
    <w:rsid w:val="596F60AE"/>
    <w:rsid w:val="597E09E7"/>
    <w:rsid w:val="598C3589"/>
    <w:rsid w:val="598D0C2A"/>
    <w:rsid w:val="59990703"/>
    <w:rsid w:val="599D3905"/>
    <w:rsid w:val="59B61F2F"/>
    <w:rsid w:val="59CD7278"/>
    <w:rsid w:val="59D042DB"/>
    <w:rsid w:val="59D329A9"/>
    <w:rsid w:val="59DD119C"/>
    <w:rsid w:val="59DE3233"/>
    <w:rsid w:val="59FD7B5D"/>
    <w:rsid w:val="5A0802B0"/>
    <w:rsid w:val="5A137381"/>
    <w:rsid w:val="5A3A0259"/>
    <w:rsid w:val="5A5017CA"/>
    <w:rsid w:val="5A5359CF"/>
    <w:rsid w:val="5A67147B"/>
    <w:rsid w:val="5A68536B"/>
    <w:rsid w:val="5AA566D8"/>
    <w:rsid w:val="5AAC50E0"/>
    <w:rsid w:val="5AB346C0"/>
    <w:rsid w:val="5ABD553F"/>
    <w:rsid w:val="5AD40454"/>
    <w:rsid w:val="5AE465A6"/>
    <w:rsid w:val="5B0853BA"/>
    <w:rsid w:val="5B392E17"/>
    <w:rsid w:val="5B48305A"/>
    <w:rsid w:val="5B590DC3"/>
    <w:rsid w:val="5B615ECA"/>
    <w:rsid w:val="5B7C4881"/>
    <w:rsid w:val="5B97777F"/>
    <w:rsid w:val="5B995664"/>
    <w:rsid w:val="5BA0376F"/>
    <w:rsid w:val="5BAA6274"/>
    <w:rsid w:val="5BAD7361"/>
    <w:rsid w:val="5BBA76D6"/>
    <w:rsid w:val="5BC67AD2"/>
    <w:rsid w:val="5BC70423"/>
    <w:rsid w:val="5BC83DAF"/>
    <w:rsid w:val="5BD4669C"/>
    <w:rsid w:val="5BD614DF"/>
    <w:rsid w:val="5BD91F04"/>
    <w:rsid w:val="5C017EA6"/>
    <w:rsid w:val="5C050F4B"/>
    <w:rsid w:val="5C0D7E00"/>
    <w:rsid w:val="5C262A46"/>
    <w:rsid w:val="5C345457"/>
    <w:rsid w:val="5C4C6B7A"/>
    <w:rsid w:val="5C5F2BB4"/>
    <w:rsid w:val="5C6519EA"/>
    <w:rsid w:val="5C693288"/>
    <w:rsid w:val="5C7B745F"/>
    <w:rsid w:val="5C86645C"/>
    <w:rsid w:val="5C8A31FF"/>
    <w:rsid w:val="5C8B76A2"/>
    <w:rsid w:val="5C936557"/>
    <w:rsid w:val="5CA342F9"/>
    <w:rsid w:val="5CB96C3F"/>
    <w:rsid w:val="5CBE001F"/>
    <w:rsid w:val="5CC76201"/>
    <w:rsid w:val="5CCE757F"/>
    <w:rsid w:val="5CCE758F"/>
    <w:rsid w:val="5CE27E10"/>
    <w:rsid w:val="5CE368C3"/>
    <w:rsid w:val="5CF37EA9"/>
    <w:rsid w:val="5D0B2591"/>
    <w:rsid w:val="5D126EEF"/>
    <w:rsid w:val="5D145B81"/>
    <w:rsid w:val="5D164DD1"/>
    <w:rsid w:val="5D1E0517"/>
    <w:rsid w:val="5D213664"/>
    <w:rsid w:val="5D4D2BAA"/>
    <w:rsid w:val="5D504448"/>
    <w:rsid w:val="5D665A1A"/>
    <w:rsid w:val="5D6A375C"/>
    <w:rsid w:val="5D7A6EC2"/>
    <w:rsid w:val="5D7C3F5D"/>
    <w:rsid w:val="5D810AA5"/>
    <w:rsid w:val="5DA72632"/>
    <w:rsid w:val="5DB479FB"/>
    <w:rsid w:val="5DE20FD7"/>
    <w:rsid w:val="5DE3706A"/>
    <w:rsid w:val="5DF9329E"/>
    <w:rsid w:val="5E0A5621"/>
    <w:rsid w:val="5E14191A"/>
    <w:rsid w:val="5E196F30"/>
    <w:rsid w:val="5E1C432A"/>
    <w:rsid w:val="5E1E62F4"/>
    <w:rsid w:val="5E2751A9"/>
    <w:rsid w:val="5E380976"/>
    <w:rsid w:val="5E547F68"/>
    <w:rsid w:val="5E5F0DE7"/>
    <w:rsid w:val="5E6919B2"/>
    <w:rsid w:val="5E6E159B"/>
    <w:rsid w:val="5E783C56"/>
    <w:rsid w:val="5E86549B"/>
    <w:rsid w:val="5EA0677E"/>
    <w:rsid w:val="5EBF1885"/>
    <w:rsid w:val="5EC716B8"/>
    <w:rsid w:val="5ED56C4A"/>
    <w:rsid w:val="5EE04322"/>
    <w:rsid w:val="5EE40830"/>
    <w:rsid w:val="5EE61080"/>
    <w:rsid w:val="5EE72B8A"/>
    <w:rsid w:val="5EF01A3F"/>
    <w:rsid w:val="5EF64B7B"/>
    <w:rsid w:val="5F065BD2"/>
    <w:rsid w:val="5F0813AA"/>
    <w:rsid w:val="5F1119B5"/>
    <w:rsid w:val="5F1576F7"/>
    <w:rsid w:val="5F24793A"/>
    <w:rsid w:val="5F307846"/>
    <w:rsid w:val="5F381638"/>
    <w:rsid w:val="5F546472"/>
    <w:rsid w:val="5F5837B6"/>
    <w:rsid w:val="5F6B37BB"/>
    <w:rsid w:val="5FB24F46"/>
    <w:rsid w:val="5FBB479B"/>
    <w:rsid w:val="5FBC5DC5"/>
    <w:rsid w:val="5FC30F01"/>
    <w:rsid w:val="5FC627A0"/>
    <w:rsid w:val="5FF375E2"/>
    <w:rsid w:val="5FF612D7"/>
    <w:rsid w:val="603264A4"/>
    <w:rsid w:val="605D1356"/>
    <w:rsid w:val="605F7185"/>
    <w:rsid w:val="606049A2"/>
    <w:rsid w:val="606F72DB"/>
    <w:rsid w:val="60793CB6"/>
    <w:rsid w:val="607C7302"/>
    <w:rsid w:val="60885CA7"/>
    <w:rsid w:val="608A1A1F"/>
    <w:rsid w:val="6093304D"/>
    <w:rsid w:val="60997EB4"/>
    <w:rsid w:val="609F196E"/>
    <w:rsid w:val="60AA284E"/>
    <w:rsid w:val="60D94755"/>
    <w:rsid w:val="60E6759D"/>
    <w:rsid w:val="60EC09F9"/>
    <w:rsid w:val="60F75A39"/>
    <w:rsid w:val="610E6FE2"/>
    <w:rsid w:val="61243C22"/>
    <w:rsid w:val="61265BEC"/>
    <w:rsid w:val="6126799A"/>
    <w:rsid w:val="613A0F30"/>
    <w:rsid w:val="61573FF7"/>
    <w:rsid w:val="61736007"/>
    <w:rsid w:val="617A5F38"/>
    <w:rsid w:val="618172C6"/>
    <w:rsid w:val="618B1EF3"/>
    <w:rsid w:val="6190699E"/>
    <w:rsid w:val="61A905CB"/>
    <w:rsid w:val="61BA27D8"/>
    <w:rsid w:val="61D244C8"/>
    <w:rsid w:val="61D76EE6"/>
    <w:rsid w:val="61E909C7"/>
    <w:rsid w:val="61ED495B"/>
    <w:rsid w:val="61FE227F"/>
    <w:rsid w:val="620C3034"/>
    <w:rsid w:val="622A34BA"/>
    <w:rsid w:val="622E7C1C"/>
    <w:rsid w:val="623E6F65"/>
    <w:rsid w:val="624D71A8"/>
    <w:rsid w:val="6272349D"/>
    <w:rsid w:val="627D5CDF"/>
    <w:rsid w:val="629722D9"/>
    <w:rsid w:val="629A1170"/>
    <w:rsid w:val="62AA45FB"/>
    <w:rsid w:val="62B47227"/>
    <w:rsid w:val="62B72874"/>
    <w:rsid w:val="62E713AB"/>
    <w:rsid w:val="62E775FD"/>
    <w:rsid w:val="63495BC1"/>
    <w:rsid w:val="63780255"/>
    <w:rsid w:val="638732C2"/>
    <w:rsid w:val="639C1C39"/>
    <w:rsid w:val="63A70B3A"/>
    <w:rsid w:val="63DE27AE"/>
    <w:rsid w:val="64030466"/>
    <w:rsid w:val="6417181C"/>
    <w:rsid w:val="642647C0"/>
    <w:rsid w:val="642C7802"/>
    <w:rsid w:val="643C59D1"/>
    <w:rsid w:val="64524F4A"/>
    <w:rsid w:val="64583BDF"/>
    <w:rsid w:val="646D3B32"/>
    <w:rsid w:val="6470717E"/>
    <w:rsid w:val="64746C6E"/>
    <w:rsid w:val="64913198"/>
    <w:rsid w:val="64A82A93"/>
    <w:rsid w:val="64B654D9"/>
    <w:rsid w:val="64CD637E"/>
    <w:rsid w:val="64F46001"/>
    <w:rsid w:val="64F47DAF"/>
    <w:rsid w:val="64FB189E"/>
    <w:rsid w:val="65046244"/>
    <w:rsid w:val="65047CF3"/>
    <w:rsid w:val="650F6997"/>
    <w:rsid w:val="65170609"/>
    <w:rsid w:val="65200BA4"/>
    <w:rsid w:val="65265B43"/>
    <w:rsid w:val="65270DFB"/>
    <w:rsid w:val="652C28D7"/>
    <w:rsid w:val="653D52B2"/>
    <w:rsid w:val="655A468E"/>
    <w:rsid w:val="655F347A"/>
    <w:rsid w:val="657B5DDA"/>
    <w:rsid w:val="65856C59"/>
    <w:rsid w:val="65A672FB"/>
    <w:rsid w:val="65AC068A"/>
    <w:rsid w:val="65C6799D"/>
    <w:rsid w:val="65D711E1"/>
    <w:rsid w:val="66344907"/>
    <w:rsid w:val="664B7EA3"/>
    <w:rsid w:val="665367F8"/>
    <w:rsid w:val="665925BF"/>
    <w:rsid w:val="665D57D7"/>
    <w:rsid w:val="666A657B"/>
    <w:rsid w:val="6672718B"/>
    <w:rsid w:val="66756CCD"/>
    <w:rsid w:val="669B4986"/>
    <w:rsid w:val="66A903A5"/>
    <w:rsid w:val="66AB6571"/>
    <w:rsid w:val="66AC1B17"/>
    <w:rsid w:val="66AD6467"/>
    <w:rsid w:val="66B23A7E"/>
    <w:rsid w:val="66B549DF"/>
    <w:rsid w:val="66BA1E66"/>
    <w:rsid w:val="66CD4D5B"/>
    <w:rsid w:val="66CF2882"/>
    <w:rsid w:val="66DB64FB"/>
    <w:rsid w:val="66E63727"/>
    <w:rsid w:val="66FE3167"/>
    <w:rsid w:val="67006EDF"/>
    <w:rsid w:val="671B1CCD"/>
    <w:rsid w:val="672506F4"/>
    <w:rsid w:val="6727424C"/>
    <w:rsid w:val="6727621A"/>
    <w:rsid w:val="672C55DE"/>
    <w:rsid w:val="67341A51"/>
    <w:rsid w:val="67380427"/>
    <w:rsid w:val="675E23FB"/>
    <w:rsid w:val="676742B2"/>
    <w:rsid w:val="67753429"/>
    <w:rsid w:val="67852F40"/>
    <w:rsid w:val="67A07D7A"/>
    <w:rsid w:val="67B201A0"/>
    <w:rsid w:val="67B53825"/>
    <w:rsid w:val="67B850C4"/>
    <w:rsid w:val="67BA0E3C"/>
    <w:rsid w:val="67C155DF"/>
    <w:rsid w:val="67CA1969"/>
    <w:rsid w:val="680500DA"/>
    <w:rsid w:val="681349F0"/>
    <w:rsid w:val="68136976"/>
    <w:rsid w:val="681E22AA"/>
    <w:rsid w:val="684626D0"/>
    <w:rsid w:val="684806EA"/>
    <w:rsid w:val="68633281"/>
    <w:rsid w:val="686A7B75"/>
    <w:rsid w:val="687E630D"/>
    <w:rsid w:val="68803E14"/>
    <w:rsid w:val="688B21B5"/>
    <w:rsid w:val="688F22C8"/>
    <w:rsid w:val="68C81197"/>
    <w:rsid w:val="68F117DF"/>
    <w:rsid w:val="68F77E6E"/>
    <w:rsid w:val="692C3FBB"/>
    <w:rsid w:val="692C7B17"/>
    <w:rsid w:val="694E3F32"/>
    <w:rsid w:val="69531548"/>
    <w:rsid w:val="695A0B28"/>
    <w:rsid w:val="69601EB7"/>
    <w:rsid w:val="696A6892"/>
    <w:rsid w:val="69AE2C22"/>
    <w:rsid w:val="69B31FE7"/>
    <w:rsid w:val="69C53AC8"/>
    <w:rsid w:val="69E403F2"/>
    <w:rsid w:val="69EC72A7"/>
    <w:rsid w:val="6A0D09E0"/>
    <w:rsid w:val="6A0E6EBA"/>
    <w:rsid w:val="6A150372"/>
    <w:rsid w:val="6A25579E"/>
    <w:rsid w:val="6A5A4B58"/>
    <w:rsid w:val="6A6652AB"/>
    <w:rsid w:val="6A667059"/>
    <w:rsid w:val="6A7E6664"/>
    <w:rsid w:val="6A8676FB"/>
    <w:rsid w:val="6A8E035E"/>
    <w:rsid w:val="6A90057A"/>
    <w:rsid w:val="6A9F2886"/>
    <w:rsid w:val="6B350124"/>
    <w:rsid w:val="6B3D6756"/>
    <w:rsid w:val="6B571B76"/>
    <w:rsid w:val="6B6473E8"/>
    <w:rsid w:val="6B765935"/>
    <w:rsid w:val="6B8879A4"/>
    <w:rsid w:val="6BC73B27"/>
    <w:rsid w:val="6BCC7390"/>
    <w:rsid w:val="6BCD0D7C"/>
    <w:rsid w:val="6BCF6E80"/>
    <w:rsid w:val="6C1F1BB5"/>
    <w:rsid w:val="6C1F5711"/>
    <w:rsid w:val="6C354FE2"/>
    <w:rsid w:val="6C3D64DF"/>
    <w:rsid w:val="6C57134F"/>
    <w:rsid w:val="6C65643F"/>
    <w:rsid w:val="6C6A3F3C"/>
    <w:rsid w:val="6C75116C"/>
    <w:rsid w:val="6C8D2FC3"/>
    <w:rsid w:val="6C9C6D62"/>
    <w:rsid w:val="6CA36A84"/>
    <w:rsid w:val="6CAF118B"/>
    <w:rsid w:val="6CB802D0"/>
    <w:rsid w:val="6CEF1588"/>
    <w:rsid w:val="6D2D20B0"/>
    <w:rsid w:val="6D2F407A"/>
    <w:rsid w:val="6D39074B"/>
    <w:rsid w:val="6D390A55"/>
    <w:rsid w:val="6D512242"/>
    <w:rsid w:val="6D7221B9"/>
    <w:rsid w:val="6D755510"/>
    <w:rsid w:val="6D8343C6"/>
    <w:rsid w:val="6D8450A3"/>
    <w:rsid w:val="6D850DFE"/>
    <w:rsid w:val="6D8C5028"/>
    <w:rsid w:val="6DBB590E"/>
    <w:rsid w:val="6DBE55F2"/>
    <w:rsid w:val="6DC04CD2"/>
    <w:rsid w:val="6DF777CB"/>
    <w:rsid w:val="6DF80910"/>
    <w:rsid w:val="6E2C680B"/>
    <w:rsid w:val="6E34121C"/>
    <w:rsid w:val="6E3851B0"/>
    <w:rsid w:val="6E453429"/>
    <w:rsid w:val="6E623FDB"/>
    <w:rsid w:val="6E712EC4"/>
    <w:rsid w:val="6E7D2BC3"/>
    <w:rsid w:val="6E8403F6"/>
    <w:rsid w:val="6EB21871"/>
    <w:rsid w:val="6EB5235D"/>
    <w:rsid w:val="6EB72E97"/>
    <w:rsid w:val="6ED053E9"/>
    <w:rsid w:val="6EE42C42"/>
    <w:rsid w:val="6F0D03EB"/>
    <w:rsid w:val="6F294096"/>
    <w:rsid w:val="6F29539B"/>
    <w:rsid w:val="6F3A458E"/>
    <w:rsid w:val="6F3C65DA"/>
    <w:rsid w:val="6F4B4A6F"/>
    <w:rsid w:val="6F4F549B"/>
    <w:rsid w:val="6F5874A9"/>
    <w:rsid w:val="6F5C6C7D"/>
    <w:rsid w:val="6F79782E"/>
    <w:rsid w:val="6F7B6189"/>
    <w:rsid w:val="6F7F06C2"/>
    <w:rsid w:val="6F8030FD"/>
    <w:rsid w:val="6F830E40"/>
    <w:rsid w:val="6F9208F0"/>
    <w:rsid w:val="6F9A0CD2"/>
    <w:rsid w:val="6FAB1F91"/>
    <w:rsid w:val="6FAF3250"/>
    <w:rsid w:val="6FCF744E"/>
    <w:rsid w:val="6FF66931"/>
    <w:rsid w:val="6FFD045F"/>
    <w:rsid w:val="700C630D"/>
    <w:rsid w:val="7016507D"/>
    <w:rsid w:val="702C48A1"/>
    <w:rsid w:val="70313C65"/>
    <w:rsid w:val="7036571F"/>
    <w:rsid w:val="704E743E"/>
    <w:rsid w:val="70590C59"/>
    <w:rsid w:val="70666005"/>
    <w:rsid w:val="706B361B"/>
    <w:rsid w:val="706E4252"/>
    <w:rsid w:val="707149AA"/>
    <w:rsid w:val="70853FB1"/>
    <w:rsid w:val="70894EA4"/>
    <w:rsid w:val="70950698"/>
    <w:rsid w:val="709A3F00"/>
    <w:rsid w:val="709D3531"/>
    <w:rsid w:val="70B1427C"/>
    <w:rsid w:val="70C81183"/>
    <w:rsid w:val="70DA42FD"/>
    <w:rsid w:val="70DF1913"/>
    <w:rsid w:val="70EB650A"/>
    <w:rsid w:val="70F925A9"/>
    <w:rsid w:val="710B44B6"/>
    <w:rsid w:val="711060E4"/>
    <w:rsid w:val="711315BD"/>
    <w:rsid w:val="71155335"/>
    <w:rsid w:val="713D663A"/>
    <w:rsid w:val="714B55B6"/>
    <w:rsid w:val="716B017F"/>
    <w:rsid w:val="717300E1"/>
    <w:rsid w:val="717F0D55"/>
    <w:rsid w:val="718C473E"/>
    <w:rsid w:val="71A30B93"/>
    <w:rsid w:val="71A816D6"/>
    <w:rsid w:val="71BE3F79"/>
    <w:rsid w:val="71CD20B4"/>
    <w:rsid w:val="71DB0F25"/>
    <w:rsid w:val="720C4AB2"/>
    <w:rsid w:val="72190E55"/>
    <w:rsid w:val="721B0253"/>
    <w:rsid w:val="72563E57"/>
    <w:rsid w:val="725D3437"/>
    <w:rsid w:val="72676064"/>
    <w:rsid w:val="729F57FE"/>
    <w:rsid w:val="72AB5F51"/>
    <w:rsid w:val="72C6192D"/>
    <w:rsid w:val="72FB2A83"/>
    <w:rsid w:val="7300573A"/>
    <w:rsid w:val="73045661"/>
    <w:rsid w:val="73094074"/>
    <w:rsid w:val="7318735E"/>
    <w:rsid w:val="732950C8"/>
    <w:rsid w:val="732F6CDB"/>
    <w:rsid w:val="733552ED"/>
    <w:rsid w:val="733C304D"/>
    <w:rsid w:val="734C5BE3"/>
    <w:rsid w:val="735008A6"/>
    <w:rsid w:val="735C36EF"/>
    <w:rsid w:val="736B748E"/>
    <w:rsid w:val="73702CF6"/>
    <w:rsid w:val="73872590"/>
    <w:rsid w:val="738B09B9"/>
    <w:rsid w:val="738B5D82"/>
    <w:rsid w:val="73974727"/>
    <w:rsid w:val="739F35DC"/>
    <w:rsid w:val="73B057E9"/>
    <w:rsid w:val="73D15D1A"/>
    <w:rsid w:val="740C0C71"/>
    <w:rsid w:val="740F0761"/>
    <w:rsid w:val="741664DF"/>
    <w:rsid w:val="74213FF1"/>
    <w:rsid w:val="74280198"/>
    <w:rsid w:val="742E508B"/>
    <w:rsid w:val="74387CB8"/>
    <w:rsid w:val="743B3304"/>
    <w:rsid w:val="744321B9"/>
    <w:rsid w:val="744F1DAB"/>
    <w:rsid w:val="744F6DB0"/>
    <w:rsid w:val="747A11FA"/>
    <w:rsid w:val="748527D2"/>
    <w:rsid w:val="74886081"/>
    <w:rsid w:val="749173C8"/>
    <w:rsid w:val="74932A0C"/>
    <w:rsid w:val="74C50E20"/>
    <w:rsid w:val="74D55AE3"/>
    <w:rsid w:val="74E21D58"/>
    <w:rsid w:val="74F11A22"/>
    <w:rsid w:val="74FC0CE6"/>
    <w:rsid w:val="750F324B"/>
    <w:rsid w:val="751002ED"/>
    <w:rsid w:val="751F2C26"/>
    <w:rsid w:val="753C37D8"/>
    <w:rsid w:val="753D12FE"/>
    <w:rsid w:val="75410DEE"/>
    <w:rsid w:val="75497CA3"/>
    <w:rsid w:val="75581C94"/>
    <w:rsid w:val="75670966"/>
    <w:rsid w:val="756B21EE"/>
    <w:rsid w:val="757B78F6"/>
    <w:rsid w:val="757C3BD5"/>
    <w:rsid w:val="757D16FB"/>
    <w:rsid w:val="75A849CA"/>
    <w:rsid w:val="75BF3AC1"/>
    <w:rsid w:val="75CB6D02"/>
    <w:rsid w:val="75E2004B"/>
    <w:rsid w:val="75E31EA6"/>
    <w:rsid w:val="75E847AB"/>
    <w:rsid w:val="75EF044F"/>
    <w:rsid w:val="75F44EEF"/>
    <w:rsid w:val="75FB7FE4"/>
    <w:rsid w:val="761E6939"/>
    <w:rsid w:val="762229CE"/>
    <w:rsid w:val="76391937"/>
    <w:rsid w:val="763E4325"/>
    <w:rsid w:val="765863F0"/>
    <w:rsid w:val="76593F16"/>
    <w:rsid w:val="766A78CC"/>
    <w:rsid w:val="766C1E9B"/>
    <w:rsid w:val="766E5C13"/>
    <w:rsid w:val="767A2F74"/>
    <w:rsid w:val="769907B6"/>
    <w:rsid w:val="76A42B08"/>
    <w:rsid w:val="76AC2297"/>
    <w:rsid w:val="76BD4BB7"/>
    <w:rsid w:val="76D055C0"/>
    <w:rsid w:val="76D8308D"/>
    <w:rsid w:val="76E45ED5"/>
    <w:rsid w:val="76E557A9"/>
    <w:rsid w:val="76F0259F"/>
    <w:rsid w:val="76F81981"/>
    <w:rsid w:val="770734AF"/>
    <w:rsid w:val="77094C50"/>
    <w:rsid w:val="77163BB5"/>
    <w:rsid w:val="771947C1"/>
    <w:rsid w:val="774E1189"/>
    <w:rsid w:val="77596178"/>
    <w:rsid w:val="77626FAE"/>
    <w:rsid w:val="77732DB5"/>
    <w:rsid w:val="77745AA4"/>
    <w:rsid w:val="77822F80"/>
    <w:rsid w:val="77A92C7B"/>
    <w:rsid w:val="77AC712F"/>
    <w:rsid w:val="77B62815"/>
    <w:rsid w:val="77ED0DBA"/>
    <w:rsid w:val="77FC779F"/>
    <w:rsid w:val="77FF6013"/>
    <w:rsid w:val="78076B6A"/>
    <w:rsid w:val="78174088"/>
    <w:rsid w:val="78202D4F"/>
    <w:rsid w:val="785D21AC"/>
    <w:rsid w:val="78632E2A"/>
    <w:rsid w:val="787A0305"/>
    <w:rsid w:val="78830A28"/>
    <w:rsid w:val="78A07BDA"/>
    <w:rsid w:val="78BD69DE"/>
    <w:rsid w:val="78BF5111"/>
    <w:rsid w:val="78CB1C19"/>
    <w:rsid w:val="78D22A27"/>
    <w:rsid w:val="78D930EC"/>
    <w:rsid w:val="78F87A16"/>
    <w:rsid w:val="78FA0020"/>
    <w:rsid w:val="791942CE"/>
    <w:rsid w:val="79273E57"/>
    <w:rsid w:val="792A1B99"/>
    <w:rsid w:val="79335F5D"/>
    <w:rsid w:val="793C08D3"/>
    <w:rsid w:val="79506C93"/>
    <w:rsid w:val="79701CA2"/>
    <w:rsid w:val="7984349D"/>
    <w:rsid w:val="79960FDD"/>
    <w:rsid w:val="79A61220"/>
    <w:rsid w:val="79AF1EA3"/>
    <w:rsid w:val="79C14961"/>
    <w:rsid w:val="79F857F4"/>
    <w:rsid w:val="79F97BCD"/>
    <w:rsid w:val="79FD2E0A"/>
    <w:rsid w:val="7A016D9E"/>
    <w:rsid w:val="7A0233A1"/>
    <w:rsid w:val="7A1062A7"/>
    <w:rsid w:val="7A212F9C"/>
    <w:rsid w:val="7A401675"/>
    <w:rsid w:val="7A444E4A"/>
    <w:rsid w:val="7A4D5B40"/>
    <w:rsid w:val="7A57156E"/>
    <w:rsid w:val="7A7B08FF"/>
    <w:rsid w:val="7A996FD7"/>
    <w:rsid w:val="7AB03FD0"/>
    <w:rsid w:val="7AB20098"/>
    <w:rsid w:val="7AB756AF"/>
    <w:rsid w:val="7ABE2599"/>
    <w:rsid w:val="7ACD6C80"/>
    <w:rsid w:val="7AD87333"/>
    <w:rsid w:val="7ADE0E8D"/>
    <w:rsid w:val="7AEA338E"/>
    <w:rsid w:val="7AF709F6"/>
    <w:rsid w:val="7B187EFC"/>
    <w:rsid w:val="7B226FCC"/>
    <w:rsid w:val="7B276391"/>
    <w:rsid w:val="7B3A4316"/>
    <w:rsid w:val="7B4B3C3E"/>
    <w:rsid w:val="7B5B0730"/>
    <w:rsid w:val="7B601297"/>
    <w:rsid w:val="7B712155"/>
    <w:rsid w:val="7B783090"/>
    <w:rsid w:val="7B8C08E9"/>
    <w:rsid w:val="7B940F9C"/>
    <w:rsid w:val="7B9854E0"/>
    <w:rsid w:val="7B9A0B28"/>
    <w:rsid w:val="7BA07F4A"/>
    <w:rsid w:val="7BB12E18"/>
    <w:rsid w:val="7BB816DF"/>
    <w:rsid w:val="7BC2255D"/>
    <w:rsid w:val="7BD55DED"/>
    <w:rsid w:val="7BDF6C6B"/>
    <w:rsid w:val="7BEE0CFE"/>
    <w:rsid w:val="7BF02C26"/>
    <w:rsid w:val="7BFA11B7"/>
    <w:rsid w:val="7BFC5A6F"/>
    <w:rsid w:val="7C02343D"/>
    <w:rsid w:val="7C0E12FE"/>
    <w:rsid w:val="7C10151B"/>
    <w:rsid w:val="7C482A62"/>
    <w:rsid w:val="7C556F2D"/>
    <w:rsid w:val="7C574A54"/>
    <w:rsid w:val="7C745605"/>
    <w:rsid w:val="7C7A678A"/>
    <w:rsid w:val="7C8A4E29"/>
    <w:rsid w:val="7CD50BD5"/>
    <w:rsid w:val="7CEF7382"/>
    <w:rsid w:val="7CF20C20"/>
    <w:rsid w:val="7CFE1373"/>
    <w:rsid w:val="7D050953"/>
    <w:rsid w:val="7D060228"/>
    <w:rsid w:val="7D074002"/>
    <w:rsid w:val="7D0746CC"/>
    <w:rsid w:val="7D380D29"/>
    <w:rsid w:val="7D3B25C7"/>
    <w:rsid w:val="7D40373A"/>
    <w:rsid w:val="7D60202E"/>
    <w:rsid w:val="7D6B2EAC"/>
    <w:rsid w:val="7D805C4B"/>
    <w:rsid w:val="7D85149C"/>
    <w:rsid w:val="7DB17547"/>
    <w:rsid w:val="7DB77972"/>
    <w:rsid w:val="7DC66335"/>
    <w:rsid w:val="7DCB53EE"/>
    <w:rsid w:val="7DCC6CD8"/>
    <w:rsid w:val="7DDC1A7B"/>
    <w:rsid w:val="7DED1B13"/>
    <w:rsid w:val="7E071C95"/>
    <w:rsid w:val="7E3037AE"/>
    <w:rsid w:val="7E355268"/>
    <w:rsid w:val="7E3E755D"/>
    <w:rsid w:val="7E4454AB"/>
    <w:rsid w:val="7E8A7362"/>
    <w:rsid w:val="7E8B6FD4"/>
    <w:rsid w:val="7ECD5C15"/>
    <w:rsid w:val="7ECF746B"/>
    <w:rsid w:val="7ED40CDB"/>
    <w:rsid w:val="7ED80A66"/>
    <w:rsid w:val="7F0215EE"/>
    <w:rsid w:val="7F0342B0"/>
    <w:rsid w:val="7F08472B"/>
    <w:rsid w:val="7F1A6186"/>
    <w:rsid w:val="7F1B0963"/>
    <w:rsid w:val="7F323556"/>
    <w:rsid w:val="7F460DAF"/>
    <w:rsid w:val="7F565496"/>
    <w:rsid w:val="7F5A7796"/>
    <w:rsid w:val="7F6C2F0C"/>
    <w:rsid w:val="7F772DAA"/>
    <w:rsid w:val="7F967F89"/>
    <w:rsid w:val="7F9A276A"/>
    <w:rsid w:val="7FB0104A"/>
    <w:rsid w:val="7FC05006"/>
    <w:rsid w:val="7FD34D39"/>
    <w:rsid w:val="7FDD7966"/>
    <w:rsid w:val="7FF01E65"/>
    <w:rsid w:val="7FF30F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2"/>
    <w:qFormat/>
    <w:uiPriority w:val="0"/>
  </w:style>
  <w:style w:type="paragraph" w:styleId="3">
    <w:name w:val="toc 3"/>
    <w:basedOn w:val="1"/>
    <w:next w:val="1"/>
    <w:qFormat/>
    <w:uiPriority w:val="0"/>
    <w:pPr>
      <w:ind w:left="840" w:leftChars="400"/>
    </w:pPr>
  </w:style>
  <w:style w:type="paragraph" w:styleId="4">
    <w:name w:val="Balloon Text"/>
    <w:basedOn w:val="1"/>
    <w:link w:val="21"/>
    <w:qFormat/>
    <w:uiPriority w:val="0"/>
    <w:rPr>
      <w:sz w:val="18"/>
      <w:szCs w:val="18"/>
    </w:rPr>
  </w:style>
  <w:style w:type="paragraph" w:styleId="5">
    <w:name w:val="footer"/>
    <w:basedOn w:val="1"/>
    <w:qFormat/>
    <w:uiPriority w:val="0"/>
    <w:pPr>
      <w:tabs>
        <w:tab w:val="center" w:pos="4153"/>
        <w:tab w:val="right" w:pos="8306"/>
      </w:tabs>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annotation subject"/>
    <w:basedOn w:val="2"/>
    <w:next w:val="2"/>
    <w:link w:val="23"/>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annotation reference"/>
    <w:basedOn w:val="12"/>
    <w:qFormat/>
    <w:uiPriority w:val="0"/>
    <w:rPr>
      <w:sz w:val="21"/>
      <w:szCs w:val="21"/>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Default"/>
    <w:unhideWhenUsed/>
    <w:qFormat/>
    <w:uiPriority w:val="99"/>
    <w:pPr>
      <w:widowControl w:val="0"/>
      <w:autoSpaceDE w:val="0"/>
      <w:autoSpaceDN w:val="0"/>
      <w:adjustRightInd w:val="0"/>
    </w:pPr>
    <w:rPr>
      <w:rFonts w:ascii="宋体" w:hAnsi="宋体" w:eastAsia="宋体" w:cs="Arial"/>
      <w:color w:val="000000"/>
      <w:sz w:val="24"/>
      <w:szCs w:val="24"/>
      <w:lang w:val="en-US" w:eastAsia="zh-CN" w:bidi="ar-SA"/>
    </w:rPr>
  </w:style>
  <w:style w:type="paragraph" w:customStyle="1" w:styleId="16">
    <w:name w:val="WPSOffice手动目录 1"/>
    <w:qFormat/>
    <w:uiPriority w:val="0"/>
    <w:rPr>
      <w:rFonts w:ascii="Arial" w:hAnsi="Arial" w:eastAsia="Arial" w:cs="Arial"/>
      <w:lang w:val="en-US" w:eastAsia="zh-CN" w:bidi="ar-SA"/>
    </w:rPr>
  </w:style>
  <w:style w:type="paragraph" w:customStyle="1" w:styleId="17">
    <w:name w:val="WPSOffice手动目录 2"/>
    <w:qFormat/>
    <w:uiPriority w:val="0"/>
    <w:pPr>
      <w:ind w:left="200" w:leftChars="200"/>
    </w:pPr>
    <w:rPr>
      <w:rFonts w:ascii="Arial" w:hAnsi="Arial" w:eastAsia="Arial" w:cs="Arial"/>
      <w:lang w:val="en-US" w:eastAsia="zh-CN" w:bidi="ar-SA"/>
    </w:rPr>
  </w:style>
  <w:style w:type="paragraph" w:customStyle="1" w:styleId="18">
    <w:name w:val="WPSOffice手动目录 3"/>
    <w:qFormat/>
    <w:uiPriority w:val="0"/>
    <w:pPr>
      <w:ind w:left="400" w:leftChars="400"/>
    </w:pPr>
    <w:rPr>
      <w:rFonts w:ascii="Arial" w:hAnsi="Arial" w:eastAsia="Arial" w:cs="Arial"/>
      <w:lang w:val="en-US" w:eastAsia="zh-CN" w:bidi="ar-SA"/>
    </w:rPr>
  </w:style>
  <w:style w:type="character" w:customStyle="1" w:styleId="19">
    <w:name w:val="fontstyle01"/>
    <w:basedOn w:val="12"/>
    <w:qFormat/>
    <w:uiPriority w:val="0"/>
    <w:rPr>
      <w:rFonts w:hint="eastAsia" w:ascii="宋体" w:hAnsi="宋体" w:eastAsia="宋体" w:cs="宋体"/>
      <w:color w:val="000000"/>
      <w:sz w:val="32"/>
      <w:szCs w:val="32"/>
    </w:rPr>
  </w:style>
  <w:style w:type="character" w:customStyle="1" w:styleId="20">
    <w:name w:val="fontstyle21"/>
    <w:basedOn w:val="12"/>
    <w:qFormat/>
    <w:uiPriority w:val="0"/>
    <w:rPr>
      <w:rFonts w:hint="default" w:ascii="Times New Roman" w:hAnsi="Times New Roman" w:cs="Times New Roman"/>
      <w:color w:val="000000"/>
      <w:sz w:val="32"/>
      <w:szCs w:val="32"/>
    </w:rPr>
  </w:style>
  <w:style w:type="character" w:customStyle="1" w:styleId="21">
    <w:name w:val="批注框文本 Char"/>
    <w:basedOn w:val="12"/>
    <w:link w:val="4"/>
    <w:qFormat/>
    <w:uiPriority w:val="0"/>
    <w:rPr>
      <w:rFonts w:ascii="Arial" w:hAnsi="Arial" w:eastAsia="Arial" w:cs="Arial"/>
      <w:snapToGrid w:val="0"/>
      <w:color w:val="000000"/>
      <w:sz w:val="18"/>
      <w:szCs w:val="18"/>
    </w:rPr>
  </w:style>
  <w:style w:type="character" w:customStyle="1" w:styleId="22">
    <w:name w:val="批注文字 Char"/>
    <w:basedOn w:val="12"/>
    <w:link w:val="2"/>
    <w:qFormat/>
    <w:uiPriority w:val="0"/>
    <w:rPr>
      <w:rFonts w:ascii="Arial" w:hAnsi="Arial" w:eastAsia="Arial" w:cs="Arial"/>
      <w:snapToGrid w:val="0"/>
      <w:color w:val="000000"/>
      <w:sz w:val="21"/>
      <w:szCs w:val="21"/>
    </w:rPr>
  </w:style>
  <w:style w:type="character" w:customStyle="1" w:styleId="23">
    <w:name w:val="批注主题 Char"/>
    <w:basedOn w:val="22"/>
    <w:link w:val="9"/>
    <w:qFormat/>
    <w:uiPriority w:val="0"/>
    <w:rPr>
      <w:rFonts w:ascii="Arial" w:hAnsi="Arial" w:eastAsia="Arial" w:cs="Arial"/>
      <w:b/>
      <w:bCs/>
      <w:snapToGrid w:val="0"/>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jpe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er" Target="foot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9"/>
    <customShpInfo spid="_x0000_s1050"/>
    <customShpInfo spid="_x0000_s104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2289</Words>
  <Characters>13052</Characters>
  <Lines>108</Lines>
  <Paragraphs>30</Paragraphs>
  <TotalTime>8</TotalTime>
  <ScaleCrop>false</ScaleCrop>
  <LinksUpToDate>false</LinksUpToDate>
  <CharactersWithSpaces>15311</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2020-04-22T10:54:00Z</dcterms:created>
  <dc:creator>王  超</dc:creator>
  <cp:lastModifiedBy>lenovo</cp:lastModifiedBy>
  <dcterms:modified xsi:type="dcterms:W3CDTF">2021-12-28T03:31:46Z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2021-12-02T09:26:07Z</vt:filetime>
  </property>
  <property fmtid="{D5CDD505-2E9C-101B-9397-08002B2CF9AE}" pid="4" name="KSOProductBuildVer">
    <vt:lpwstr>2052-11.8.6.8811</vt:lpwstr>
  </property>
  <property fmtid="{D5CDD505-2E9C-101B-9397-08002B2CF9AE}" pid="5" name="ICV">
    <vt:lpwstr>36D414EB298C477AAB483C87A6173B46</vt:lpwstr>
  </property>
</Properties>
</file>